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C32958" w:rsidRDefault="00F92268" w:rsidP="00850792">
      <w:pPr>
        <w:pStyle w:val="BodyText"/>
        <w:rPr>
          <w:sz w:val="6"/>
          <w:szCs w:val="6"/>
        </w:rPr>
      </w:pPr>
      <w:r w:rsidRPr="00C32958">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C32958"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C32958" w:rsidRDefault="00F92268" w:rsidP="00F246C7">
            <w:pPr>
              <w:pStyle w:val="RefTableData"/>
            </w:pPr>
            <w:r w:rsidRPr="00C32958">
              <w:t>Reference number(s)</w:t>
            </w:r>
          </w:p>
        </w:tc>
      </w:tr>
      <w:tr w:rsidR="00F92268" w:rsidRPr="00C32958"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E11F6DD" w:rsidR="00F92268" w:rsidRPr="00C32958" w:rsidRDefault="00C41EFA" w:rsidP="00F246C7">
            <w:pPr>
              <w:pStyle w:val="RefTableHeader"/>
            </w:pPr>
            <w:r w:rsidRPr="00C32958">
              <w:t>3874-A</w:t>
            </w:r>
          </w:p>
        </w:tc>
      </w:tr>
    </w:tbl>
    <w:p w14:paraId="74FBA5B4" w14:textId="77777777" w:rsidR="00051356" w:rsidRPr="00C32958" w:rsidRDefault="00051356" w:rsidP="00A672B3">
      <w:pPr>
        <w:pStyle w:val="BodyText"/>
        <w:rPr>
          <w:b/>
          <w:bCs/>
          <w:sz w:val="16"/>
          <w:szCs w:val="16"/>
        </w:rPr>
        <w:sectPr w:rsidR="00051356" w:rsidRPr="00C32958" w:rsidSect="0074202C">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89D457C" w:rsidR="004B15BB" w:rsidRPr="00C32958" w:rsidRDefault="00E369F7" w:rsidP="007E5C16">
      <w:pPr>
        <w:pStyle w:val="Heading1"/>
      </w:pPr>
      <w:r w:rsidRPr="00C32958">
        <w:t>Specialty Guideline Management</w:t>
      </w:r>
      <w:r w:rsidRPr="00C32958">
        <w:br/>
        <w:t>Retevmo</w:t>
      </w:r>
    </w:p>
    <w:p w14:paraId="78861C92" w14:textId="447F97DD" w:rsidR="00203468" w:rsidRPr="00C32958" w:rsidRDefault="00C64534" w:rsidP="008E0F0D">
      <w:pPr>
        <w:pStyle w:val="Heading2"/>
      </w:pPr>
      <w:r w:rsidRPr="00C32958">
        <w:t xml:space="preserve">Products Referenced by this </w:t>
      </w:r>
      <w:r w:rsidR="00501602" w:rsidRPr="00C32958">
        <w:t>Document</w:t>
      </w:r>
    </w:p>
    <w:p w14:paraId="5455152B" w14:textId="6B3679F4" w:rsidR="008E0F0D" w:rsidRPr="00C32958" w:rsidRDefault="00D82D85" w:rsidP="008B73E8">
      <w:pPr>
        <w:pStyle w:val="BodyText"/>
      </w:pPr>
      <w:r w:rsidRPr="00C32958">
        <w:t xml:space="preserve">Drugs that are listed in the </w:t>
      </w:r>
      <w:r w:rsidR="000315F1" w:rsidRPr="00C32958">
        <w:t>following table</w:t>
      </w:r>
      <w:r w:rsidRPr="00C32958">
        <w:t xml:space="preserve"> include both brand and generic and all dosage forms and strengths unless otherwise stated. </w:t>
      </w:r>
      <w:proofErr w:type="gramStart"/>
      <w:r w:rsidR="00500570">
        <w:t>Over-the-counter</w:t>
      </w:r>
      <w:proofErr w:type="gramEnd"/>
      <w:r w:rsidR="00500570">
        <w:t xml:space="preserve"> (</w:t>
      </w:r>
      <w:r w:rsidRPr="00C32958">
        <w:t>OTC</w:t>
      </w:r>
      <w:r w:rsidR="00500570">
        <w:t>)</w:t>
      </w:r>
      <w:r w:rsidRPr="00C32958">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C32958" w14:paraId="158421F8" w14:textId="77777777" w:rsidTr="000C5A6F">
        <w:trPr>
          <w:cantSplit/>
          <w:trHeight w:val="288"/>
          <w:tblHeader/>
        </w:trPr>
        <w:tc>
          <w:tcPr>
            <w:tcW w:w="5265" w:type="dxa"/>
            <w:vAlign w:val="center"/>
          </w:tcPr>
          <w:p w14:paraId="2A27354A" w14:textId="1390179E" w:rsidR="00252CE1" w:rsidRPr="00C32958" w:rsidRDefault="00252CE1" w:rsidP="00AA1E6A">
            <w:pPr>
              <w:pStyle w:val="TableHeader"/>
            </w:pPr>
            <w:bookmarkStart w:id="0" w:name="_Hlk159603270"/>
            <w:r w:rsidRPr="00C32958">
              <w:t>Brand Name</w:t>
            </w:r>
          </w:p>
        </w:tc>
        <w:tc>
          <w:tcPr>
            <w:tcW w:w="5595" w:type="dxa"/>
            <w:vAlign w:val="center"/>
          </w:tcPr>
          <w:p w14:paraId="3D342BE1" w14:textId="75F11EF1" w:rsidR="00252CE1" w:rsidRPr="00C32958" w:rsidRDefault="00252CE1" w:rsidP="00AA1E6A">
            <w:pPr>
              <w:pStyle w:val="TableHeader"/>
            </w:pPr>
            <w:r w:rsidRPr="00C32958">
              <w:t>Generic Name</w:t>
            </w:r>
          </w:p>
        </w:tc>
      </w:tr>
      <w:tr w:rsidR="00585FFF" w:rsidRPr="00C32958" w14:paraId="2AD5C02D" w14:textId="77777777" w:rsidTr="000C5A6F">
        <w:trPr>
          <w:cantSplit/>
        </w:trPr>
        <w:tc>
          <w:tcPr>
            <w:tcW w:w="5265" w:type="dxa"/>
          </w:tcPr>
          <w:p w14:paraId="2D8FA8E3" w14:textId="59FB68ED" w:rsidR="00585FFF" w:rsidRPr="00C32958" w:rsidRDefault="00E369F7" w:rsidP="00E82ABA">
            <w:pPr>
              <w:pStyle w:val="TableDataUnpadded"/>
            </w:pPr>
            <w:r w:rsidRPr="00C32958">
              <w:t>Retevmo</w:t>
            </w:r>
          </w:p>
        </w:tc>
        <w:tc>
          <w:tcPr>
            <w:tcW w:w="5595" w:type="dxa"/>
          </w:tcPr>
          <w:p w14:paraId="7E26A004" w14:textId="738A4025" w:rsidR="00585FFF" w:rsidRPr="00C32958" w:rsidRDefault="00E369F7" w:rsidP="00E82ABA">
            <w:pPr>
              <w:pStyle w:val="TableDataUnpadded"/>
            </w:pPr>
            <w:proofErr w:type="spellStart"/>
            <w:r w:rsidRPr="00C32958">
              <w:t>selpercatinib</w:t>
            </w:r>
            <w:proofErr w:type="spellEnd"/>
          </w:p>
        </w:tc>
      </w:tr>
    </w:tbl>
    <w:bookmarkEnd w:id="0"/>
    <w:p w14:paraId="14CE6108" w14:textId="6DF1CFD3" w:rsidR="00FC1AAD" w:rsidRPr="00C32958" w:rsidRDefault="00ED052F" w:rsidP="00AA2A94">
      <w:pPr>
        <w:pStyle w:val="Heading2"/>
        <w:tabs>
          <w:tab w:val="left" w:pos="9540"/>
        </w:tabs>
      </w:pPr>
      <w:r w:rsidRPr="00C32958">
        <w:t>Indications</w:t>
      </w:r>
    </w:p>
    <w:p w14:paraId="4E10E250" w14:textId="743C5AE2" w:rsidR="00E369F7" w:rsidRPr="00C32958" w:rsidRDefault="00E369F7" w:rsidP="00E369F7">
      <w:pPr>
        <w:pStyle w:val="BodyText"/>
      </w:pPr>
      <w:r w:rsidRPr="00C32958">
        <w:t xml:space="preserve">The indications below including FDA-approved indications and compendial uses are considered a covered benefit provided that all the approval criteria are </w:t>
      </w:r>
      <w:proofErr w:type="gramStart"/>
      <w:r w:rsidRPr="00C32958">
        <w:t>met</w:t>
      </w:r>
      <w:proofErr w:type="gramEnd"/>
      <w:r w:rsidRPr="00C32958">
        <w:t xml:space="preserve"> and the member has no exclusions to the prescribed therapy.</w:t>
      </w:r>
    </w:p>
    <w:p w14:paraId="134B5687" w14:textId="70BEC9FC" w:rsidR="00ED052F" w:rsidRPr="00C32958" w:rsidRDefault="00ED052F" w:rsidP="00E369F7">
      <w:pPr>
        <w:pStyle w:val="Heading3"/>
        <w:keepNext w:val="0"/>
        <w:spacing w:after="0"/>
      </w:pPr>
      <w:r w:rsidRPr="00C32958">
        <w:t>FDA-</w:t>
      </w:r>
      <w:r w:rsidR="00C32958">
        <w:t>A</w:t>
      </w:r>
      <w:r w:rsidRPr="00C32958">
        <w:t>pproved Indications</w:t>
      </w:r>
      <w:r w:rsidR="00E369F7" w:rsidRPr="00C32958">
        <w:rPr>
          <w:vertAlign w:val="superscript"/>
        </w:rPr>
        <w:t>1</w:t>
      </w:r>
    </w:p>
    <w:p w14:paraId="259EF488" w14:textId="3102057B" w:rsidR="00E369F7" w:rsidRPr="00C921E7" w:rsidRDefault="00E369F7" w:rsidP="00C921E7">
      <w:pPr>
        <w:pStyle w:val="ListParagraph"/>
        <w:numPr>
          <w:ilvl w:val="0"/>
          <w:numId w:val="33"/>
        </w:numPr>
      </w:pPr>
      <w:r w:rsidRPr="00C921E7">
        <w:t>Adult patients with locally advanced or metastatic non-small cell lung cancer (NSCLC) with a rearranged during transfection (RET) gene fusion</w:t>
      </w:r>
    </w:p>
    <w:p w14:paraId="4FBAA0A9" w14:textId="6257BDF5" w:rsidR="00E369F7" w:rsidRPr="00C921E7" w:rsidRDefault="00E369F7" w:rsidP="00C921E7">
      <w:pPr>
        <w:pStyle w:val="ListParagraph"/>
        <w:numPr>
          <w:ilvl w:val="0"/>
          <w:numId w:val="33"/>
        </w:numPr>
      </w:pPr>
      <w:r w:rsidRPr="00C921E7">
        <w:t xml:space="preserve">Adult and pediatric patients </w:t>
      </w:r>
      <w:r w:rsidR="00F439A7">
        <w:t>2</w:t>
      </w:r>
      <w:r w:rsidR="00F439A7" w:rsidRPr="00C921E7">
        <w:t xml:space="preserve"> </w:t>
      </w:r>
      <w:r w:rsidRPr="00C921E7">
        <w:t>years of age and older with advanced or metastatic medullary thyroid cancer (MTC) with a RET mutation who require systemic therapy.</w:t>
      </w:r>
    </w:p>
    <w:p w14:paraId="64BFA32A" w14:textId="5B1F521E" w:rsidR="00E369F7" w:rsidRPr="00C921E7" w:rsidRDefault="00E369F7" w:rsidP="00C921E7">
      <w:pPr>
        <w:pStyle w:val="ListParagraph"/>
        <w:numPr>
          <w:ilvl w:val="0"/>
          <w:numId w:val="33"/>
        </w:numPr>
      </w:pPr>
      <w:r w:rsidRPr="00C921E7">
        <w:t xml:space="preserve">Adult and pediatric patients </w:t>
      </w:r>
      <w:r w:rsidR="00F439A7">
        <w:t>2</w:t>
      </w:r>
      <w:r w:rsidR="00F439A7" w:rsidRPr="00C921E7">
        <w:t xml:space="preserve"> </w:t>
      </w:r>
      <w:r w:rsidRPr="00C921E7">
        <w:t>years of age and older with advanced or metastatic thyroid cancer with a RET gene fusion who require systemic therapy and who are radioactive iodine-refractory (if radioactive iodine is appropriate).</w:t>
      </w:r>
    </w:p>
    <w:p w14:paraId="4C434745" w14:textId="64265E0F" w:rsidR="00ED052F" w:rsidRPr="00C921E7" w:rsidRDefault="00E369F7" w:rsidP="00C921E7">
      <w:pPr>
        <w:pStyle w:val="ListParagraph"/>
        <w:numPr>
          <w:ilvl w:val="0"/>
          <w:numId w:val="33"/>
        </w:numPr>
      </w:pPr>
      <w:r w:rsidRPr="00C921E7">
        <w:t xml:space="preserve">Adult </w:t>
      </w:r>
      <w:r w:rsidR="00F439A7">
        <w:t xml:space="preserve">and pediatric </w:t>
      </w:r>
      <w:r w:rsidRPr="00C921E7">
        <w:t xml:space="preserve">patients </w:t>
      </w:r>
      <w:r w:rsidR="00E37577">
        <w:t xml:space="preserve">2 years of age and older </w:t>
      </w:r>
      <w:r w:rsidRPr="00C921E7">
        <w:t>with locally advanced or metastatic solid tumors with a RET gene fusion that have progressed on or following prior systemic treatment or who have no satisfactory alternative treatment options.</w:t>
      </w:r>
    </w:p>
    <w:p w14:paraId="0B5EC236" w14:textId="5B9E3B3D" w:rsidR="0044763A" w:rsidRPr="00C32958" w:rsidRDefault="009F2EF1" w:rsidP="0044763A">
      <w:pPr>
        <w:pStyle w:val="Heading3"/>
      </w:pPr>
      <w:r w:rsidRPr="00C32958">
        <w:t>Compendial Uses</w:t>
      </w:r>
      <w:r w:rsidR="00E369F7" w:rsidRPr="00C32958">
        <w:rPr>
          <w:vertAlign w:val="superscript"/>
        </w:rPr>
        <w:t>2,3</w:t>
      </w:r>
    </w:p>
    <w:p w14:paraId="136C60DD" w14:textId="6053740A" w:rsidR="00E369F7" w:rsidRPr="00C921E7" w:rsidRDefault="00E369F7" w:rsidP="00C921E7">
      <w:pPr>
        <w:pStyle w:val="ListParagraph"/>
        <w:numPr>
          <w:ilvl w:val="0"/>
          <w:numId w:val="34"/>
        </w:numPr>
      </w:pPr>
      <w:r w:rsidRPr="00C921E7">
        <w:t>Recurrent, advanced or metastatic NSCLC with RET rearrangement-positive tumors</w:t>
      </w:r>
    </w:p>
    <w:p w14:paraId="3FCCC94A" w14:textId="7C979E83" w:rsidR="00E369F7" w:rsidRPr="00C921E7" w:rsidRDefault="00E369F7" w:rsidP="00C921E7">
      <w:pPr>
        <w:pStyle w:val="ListParagraph"/>
        <w:numPr>
          <w:ilvl w:val="0"/>
          <w:numId w:val="34"/>
        </w:numPr>
      </w:pPr>
      <w:r w:rsidRPr="00C921E7">
        <w:lastRenderedPageBreak/>
        <w:t>Brain metastases from RET fusion positive NSCLC</w:t>
      </w:r>
    </w:p>
    <w:p w14:paraId="2E52EEE8" w14:textId="5FA90398" w:rsidR="00E369F7" w:rsidRPr="00C921E7" w:rsidRDefault="00E369F7" w:rsidP="00C921E7">
      <w:pPr>
        <w:pStyle w:val="ListParagraph"/>
        <w:numPr>
          <w:ilvl w:val="0"/>
          <w:numId w:val="34"/>
        </w:numPr>
      </w:pPr>
      <w:r w:rsidRPr="00C921E7">
        <w:t>Histiocytic Neoplasms with RET gene fusion:</w:t>
      </w:r>
    </w:p>
    <w:p w14:paraId="3EA3F7A6" w14:textId="71FBCFBB" w:rsidR="00E369F7" w:rsidRPr="00C921E7" w:rsidRDefault="00E369F7" w:rsidP="00C921E7">
      <w:pPr>
        <w:pStyle w:val="ListParagraph"/>
        <w:numPr>
          <w:ilvl w:val="1"/>
          <w:numId w:val="35"/>
        </w:numPr>
      </w:pPr>
      <w:proofErr w:type="spellStart"/>
      <w:r w:rsidRPr="00C921E7">
        <w:t>Erdheim</w:t>
      </w:r>
      <w:proofErr w:type="spellEnd"/>
      <w:r w:rsidRPr="00C921E7">
        <w:t>-Chester Disease (ECD)</w:t>
      </w:r>
    </w:p>
    <w:p w14:paraId="33606C14" w14:textId="645D4041" w:rsidR="00E369F7" w:rsidRPr="00C921E7" w:rsidRDefault="00E369F7" w:rsidP="00C921E7">
      <w:pPr>
        <w:pStyle w:val="ListParagraph"/>
        <w:numPr>
          <w:ilvl w:val="1"/>
          <w:numId w:val="35"/>
        </w:numPr>
      </w:pPr>
      <w:r w:rsidRPr="00C921E7">
        <w:t>Langerhans Cell Histiocytosis (LCH)</w:t>
      </w:r>
    </w:p>
    <w:p w14:paraId="151F0DC4" w14:textId="6876D940" w:rsidR="00E369F7" w:rsidRPr="00C921E7" w:rsidRDefault="00E369F7" w:rsidP="00C921E7">
      <w:pPr>
        <w:pStyle w:val="ListParagraph"/>
        <w:numPr>
          <w:ilvl w:val="1"/>
          <w:numId w:val="35"/>
        </w:numPr>
      </w:pPr>
      <w:r w:rsidRPr="00C921E7">
        <w:t>Rosai-Dorfman Disease</w:t>
      </w:r>
    </w:p>
    <w:p w14:paraId="635FCB27" w14:textId="32794BB6" w:rsidR="00E369F7" w:rsidRPr="00C921E7" w:rsidRDefault="00E369F7" w:rsidP="00C921E7">
      <w:pPr>
        <w:pStyle w:val="ListParagraph"/>
        <w:numPr>
          <w:ilvl w:val="0"/>
          <w:numId w:val="34"/>
        </w:numPr>
      </w:pPr>
      <w:r w:rsidRPr="00C921E7">
        <w:t>Occult primary cancer with RET gene fusion</w:t>
      </w:r>
    </w:p>
    <w:p w14:paraId="6D0184C9" w14:textId="77777777" w:rsidR="00E369F7" w:rsidRPr="00C921E7" w:rsidRDefault="00E369F7" w:rsidP="00C921E7">
      <w:pPr>
        <w:pStyle w:val="ListParagraph"/>
        <w:numPr>
          <w:ilvl w:val="0"/>
          <w:numId w:val="34"/>
        </w:numPr>
      </w:pPr>
      <w:r w:rsidRPr="00C921E7">
        <w:t xml:space="preserve">Solid tumors with RET-gene fusion for recurrent, persistent, progressive, unresectable disease </w:t>
      </w:r>
    </w:p>
    <w:p w14:paraId="6E500941" w14:textId="725A4853" w:rsidR="00E369F7" w:rsidRPr="00C921E7" w:rsidRDefault="00E369F7" w:rsidP="00C921E7">
      <w:pPr>
        <w:pStyle w:val="ListParagraph"/>
        <w:numPr>
          <w:ilvl w:val="0"/>
          <w:numId w:val="34"/>
        </w:numPr>
      </w:pPr>
      <w:r w:rsidRPr="00C921E7">
        <w:t>Thyroid cancer with RET gene fusion:</w:t>
      </w:r>
    </w:p>
    <w:p w14:paraId="0F7FF4BB" w14:textId="0C9595BC" w:rsidR="00E369F7" w:rsidRPr="00C921E7" w:rsidRDefault="00E369F7" w:rsidP="00C921E7">
      <w:pPr>
        <w:pStyle w:val="ListParagraph"/>
        <w:numPr>
          <w:ilvl w:val="1"/>
          <w:numId w:val="36"/>
        </w:numPr>
      </w:pPr>
      <w:r w:rsidRPr="00C921E7">
        <w:t>Locoregional or metastatic anaplastic thyroid carcinoma</w:t>
      </w:r>
    </w:p>
    <w:p w14:paraId="3ADC75FD" w14:textId="14659E83" w:rsidR="00E369F7" w:rsidRPr="00C921E7" w:rsidRDefault="006A1565" w:rsidP="00C921E7">
      <w:pPr>
        <w:pStyle w:val="ListParagraph"/>
        <w:numPr>
          <w:ilvl w:val="1"/>
          <w:numId w:val="36"/>
        </w:numPr>
      </w:pPr>
      <w:r>
        <w:t>Unresectable, r</w:t>
      </w:r>
      <w:r w:rsidR="00E369F7" w:rsidRPr="00C921E7">
        <w:t xml:space="preserve">ecurrent </w:t>
      </w:r>
      <w:r>
        <w:t xml:space="preserve">or persistent </w:t>
      </w:r>
      <w:r w:rsidR="00E369F7" w:rsidRPr="00C921E7">
        <w:t>medullary thyroid cancer</w:t>
      </w:r>
    </w:p>
    <w:p w14:paraId="36A72C66" w14:textId="0808E127" w:rsidR="00E369F7" w:rsidRDefault="00E369F7" w:rsidP="00C921E7">
      <w:pPr>
        <w:pStyle w:val="ListParagraph"/>
        <w:numPr>
          <w:ilvl w:val="1"/>
          <w:numId w:val="36"/>
        </w:numPr>
        <w:spacing w:after="120"/>
      </w:pPr>
      <w:r w:rsidRPr="00C921E7">
        <w:t>Progressive/symptomatic thyroid cancer</w:t>
      </w:r>
    </w:p>
    <w:p w14:paraId="24DF6B29" w14:textId="77777777" w:rsidR="007F2D7B" w:rsidRPr="007F2D7B" w:rsidRDefault="007F2D7B" w:rsidP="007F2D7B">
      <w:pPr>
        <w:pStyle w:val="ListParagraph"/>
        <w:numPr>
          <w:ilvl w:val="0"/>
          <w:numId w:val="36"/>
        </w:numPr>
      </w:pPr>
      <w:r w:rsidRPr="007F2D7B">
        <w:t>Gallbladder cancer with RET gene fusion</w:t>
      </w:r>
    </w:p>
    <w:p w14:paraId="2CB32D0D" w14:textId="77777777" w:rsidR="005A23CB" w:rsidRDefault="00325716" w:rsidP="005A23CB">
      <w:pPr>
        <w:pStyle w:val="ListParagraph"/>
        <w:numPr>
          <w:ilvl w:val="0"/>
          <w:numId w:val="36"/>
        </w:numPr>
        <w:spacing w:after="120"/>
      </w:pPr>
      <w:r w:rsidRPr="00325716">
        <w:t xml:space="preserve">Vaginal cancer with </w:t>
      </w:r>
      <w:r w:rsidRPr="007E3036">
        <w:t>RET</w:t>
      </w:r>
      <w:r w:rsidRPr="00325716">
        <w:rPr>
          <w:i/>
          <w:iCs/>
        </w:rPr>
        <w:t xml:space="preserve"> </w:t>
      </w:r>
      <w:r w:rsidRPr="001F1A03">
        <w:t>gene fusion</w:t>
      </w:r>
    </w:p>
    <w:p w14:paraId="0EE4388B" w14:textId="4C1578DC" w:rsidR="005A23CB" w:rsidRDefault="005A23CB" w:rsidP="005A23CB">
      <w:pPr>
        <w:pStyle w:val="ListParagraph"/>
        <w:numPr>
          <w:ilvl w:val="0"/>
          <w:numId w:val="36"/>
        </w:numPr>
        <w:spacing w:after="120"/>
      </w:pPr>
      <w:r w:rsidRPr="00C921E7">
        <w:t>Pancreatic adenocarcinoma</w:t>
      </w:r>
      <w:r w:rsidR="00B40FDA">
        <w:t xml:space="preserve"> </w:t>
      </w:r>
      <w:r w:rsidR="00B40FDA" w:rsidRPr="00325716">
        <w:t xml:space="preserve">with </w:t>
      </w:r>
      <w:r w:rsidR="00B40FDA" w:rsidRPr="00B00DD2">
        <w:t>RET</w:t>
      </w:r>
      <w:r w:rsidR="00B40FDA" w:rsidRPr="00325716">
        <w:rPr>
          <w:i/>
          <w:iCs/>
        </w:rPr>
        <w:t xml:space="preserve"> </w:t>
      </w:r>
      <w:r w:rsidR="00B40FDA" w:rsidRPr="001F1A03">
        <w:t>gene fusion</w:t>
      </w:r>
    </w:p>
    <w:p w14:paraId="4CF42A8B" w14:textId="5C403521" w:rsidR="00B40FDA" w:rsidRDefault="00B40FDA" w:rsidP="005A23CB">
      <w:pPr>
        <w:pStyle w:val="ListParagraph"/>
        <w:numPr>
          <w:ilvl w:val="0"/>
          <w:numId w:val="36"/>
        </w:numPr>
        <w:spacing w:after="120"/>
      </w:pPr>
      <w:r>
        <w:t xml:space="preserve">Uterine sarcoma </w:t>
      </w:r>
      <w:r w:rsidRPr="00325716">
        <w:t xml:space="preserve">with </w:t>
      </w:r>
      <w:r w:rsidRPr="00B00DD2">
        <w:t>RET</w:t>
      </w:r>
      <w:r w:rsidRPr="00325716">
        <w:rPr>
          <w:i/>
          <w:iCs/>
        </w:rPr>
        <w:t xml:space="preserve"> </w:t>
      </w:r>
      <w:r w:rsidRPr="001F1A03">
        <w:t>gene fusion</w:t>
      </w:r>
    </w:p>
    <w:p w14:paraId="4F4E3B40" w14:textId="10B766AE" w:rsidR="003542C2" w:rsidRDefault="003542C2" w:rsidP="003542C2">
      <w:pPr>
        <w:pStyle w:val="ListParagraph"/>
        <w:numPr>
          <w:ilvl w:val="0"/>
          <w:numId w:val="36"/>
        </w:numPr>
        <w:spacing w:after="120"/>
      </w:pPr>
      <w:r w:rsidRPr="00C921E7">
        <w:t>Ampullary adenocarcinoma</w:t>
      </w:r>
      <w:r w:rsidRPr="003542C2">
        <w:t xml:space="preserve"> </w:t>
      </w:r>
      <w:r w:rsidRPr="00325716">
        <w:t xml:space="preserve">with </w:t>
      </w:r>
      <w:r w:rsidRPr="00B00DD2">
        <w:t>RET</w:t>
      </w:r>
      <w:r w:rsidRPr="00325716">
        <w:rPr>
          <w:i/>
          <w:iCs/>
        </w:rPr>
        <w:t xml:space="preserve"> </w:t>
      </w:r>
      <w:r w:rsidRPr="001F1A03">
        <w:t>gene fusion</w:t>
      </w:r>
    </w:p>
    <w:p w14:paraId="6AE980BA" w14:textId="51E6245D" w:rsidR="00DB2395" w:rsidRDefault="00DB2395" w:rsidP="003542C2">
      <w:pPr>
        <w:pStyle w:val="ListParagraph"/>
        <w:numPr>
          <w:ilvl w:val="0"/>
          <w:numId w:val="36"/>
        </w:numPr>
        <w:spacing w:after="120"/>
      </w:pPr>
      <w:r w:rsidRPr="00C921E7">
        <w:t>Soft tissue sarcoma</w:t>
      </w:r>
      <w:r w:rsidRPr="00DB2395">
        <w:t xml:space="preserve"> </w:t>
      </w:r>
      <w:r w:rsidRPr="00325716">
        <w:t xml:space="preserve">with </w:t>
      </w:r>
      <w:r w:rsidRPr="00B00DD2">
        <w:t>RET</w:t>
      </w:r>
      <w:r w:rsidRPr="007E3036">
        <w:t xml:space="preserve"> </w:t>
      </w:r>
      <w:r w:rsidRPr="001F1A03">
        <w:t>gene fusion</w:t>
      </w:r>
    </w:p>
    <w:p w14:paraId="1F294C2C" w14:textId="48DFCC8B" w:rsidR="0002694B" w:rsidRPr="00C921E7" w:rsidRDefault="0002694B" w:rsidP="007E3036">
      <w:pPr>
        <w:pStyle w:val="ListParagraph"/>
        <w:numPr>
          <w:ilvl w:val="0"/>
          <w:numId w:val="36"/>
        </w:numPr>
        <w:spacing w:after="120"/>
      </w:pPr>
      <w:r w:rsidRPr="007E3036">
        <w:t xml:space="preserve">Neuroendocrine </w:t>
      </w:r>
      <w:r w:rsidRPr="0002694B">
        <w:t>and adrenal tumors - extrapulmonary poorly differentiated: neuroendocrine carcinoma/large or small cell carcinoma/mixed neuroendocrine-non-neuroendocrine neoplasm</w:t>
      </w:r>
      <w:r w:rsidR="00CC2FB2">
        <w:t xml:space="preserve"> or p</w:t>
      </w:r>
      <w:r w:rsidR="00CC2FB2" w:rsidRPr="00674AED">
        <w:t>heochromocytoma/</w:t>
      </w:r>
      <w:r w:rsidR="00CC2FB2">
        <w:t>p</w:t>
      </w:r>
      <w:r w:rsidR="00CC2FB2" w:rsidRPr="00674AED">
        <w:t>araganglioma</w:t>
      </w:r>
      <w:r>
        <w:t xml:space="preserve"> </w:t>
      </w:r>
      <w:r w:rsidRPr="00325716">
        <w:t xml:space="preserve">with </w:t>
      </w:r>
      <w:r w:rsidRPr="00B00DD2">
        <w:t xml:space="preserve">RET </w:t>
      </w:r>
      <w:r w:rsidRPr="001F1A03">
        <w:t>gene fusion</w:t>
      </w:r>
    </w:p>
    <w:p w14:paraId="0D5A9DD5" w14:textId="5D5A1A0F" w:rsidR="009A5649" w:rsidRPr="00C32958" w:rsidRDefault="009A5649" w:rsidP="00C921E7">
      <w:pPr>
        <w:pStyle w:val="BodyText"/>
        <w:rPr>
          <w:rFonts w:eastAsia="Arial"/>
        </w:rPr>
      </w:pPr>
      <w:r w:rsidRPr="00C32958">
        <w:t xml:space="preserve">All other indications </w:t>
      </w:r>
      <w:r w:rsidRPr="00C921E7">
        <w:t>are</w:t>
      </w:r>
      <w:r w:rsidRPr="00C32958">
        <w:t xml:space="preserve"> considered experimental/investigational and </w:t>
      </w:r>
      <w:r w:rsidRPr="00C32958">
        <w:rPr>
          <w:rFonts w:eastAsia="Arial"/>
        </w:rPr>
        <w:t>not medically necessary.</w:t>
      </w:r>
    </w:p>
    <w:p w14:paraId="36381B6D" w14:textId="57B25648" w:rsidR="000D2496" w:rsidRPr="00C32958" w:rsidRDefault="000D2496" w:rsidP="000D2496">
      <w:pPr>
        <w:pStyle w:val="Heading2"/>
      </w:pPr>
      <w:r w:rsidRPr="00C32958">
        <w:t>Documentation</w:t>
      </w:r>
    </w:p>
    <w:p w14:paraId="2180ED6E" w14:textId="03ED58A1" w:rsidR="000D2496" w:rsidRPr="00C32958" w:rsidRDefault="00E369F7" w:rsidP="000D2496">
      <w:pPr>
        <w:pStyle w:val="BodyText"/>
      </w:pPr>
      <w:r w:rsidRPr="00C32958">
        <w:t>Submission of the following information is necessary to initiate the prior authorization review: Documentation of the presence of a RET gene fusion or specific RET gene mutation in tumor specimens or plasma (where applicable).</w:t>
      </w:r>
    </w:p>
    <w:p w14:paraId="50A38FBA" w14:textId="6FA4DC13" w:rsidR="00FE0C63" w:rsidRPr="00C32958" w:rsidRDefault="00685107" w:rsidP="00E050E1">
      <w:pPr>
        <w:pStyle w:val="Heading2"/>
      </w:pPr>
      <w:r w:rsidRPr="00C32958">
        <w:t>Coverage Criteria</w:t>
      </w:r>
    </w:p>
    <w:p w14:paraId="754AE324" w14:textId="66C889A4" w:rsidR="00E369F7" w:rsidRPr="00C32958" w:rsidRDefault="00E369F7" w:rsidP="00C921E7">
      <w:pPr>
        <w:pStyle w:val="Heading3"/>
      </w:pPr>
      <w:r w:rsidRPr="00C32958">
        <w:t xml:space="preserve">Non-Small </w:t>
      </w:r>
      <w:r w:rsidRPr="00C921E7">
        <w:t>Cell</w:t>
      </w:r>
      <w:r w:rsidRPr="00C32958">
        <w:t xml:space="preserve"> Lung Cancer</w:t>
      </w:r>
      <w:r w:rsidRPr="00C32958">
        <w:rPr>
          <w:vertAlign w:val="superscript"/>
        </w:rPr>
        <w:t>1,2</w:t>
      </w:r>
    </w:p>
    <w:p w14:paraId="691F13CC" w14:textId="02449B96" w:rsidR="00E369F7" w:rsidRPr="00C32958" w:rsidRDefault="00E369F7" w:rsidP="00C921E7">
      <w:pPr>
        <w:pStyle w:val="BodyText"/>
      </w:pPr>
      <w:r w:rsidRPr="00C32958">
        <w:t>Authorization of 12 months may be granted as a single agent for treatment of recurrent, advanced, or metastatic non-small cell lung cancer (including brain metastases from NSCLC) when the tumors have a RET gene fusion.</w:t>
      </w:r>
    </w:p>
    <w:p w14:paraId="68477B55" w14:textId="46E2D743" w:rsidR="00E369F7" w:rsidRPr="00C32958" w:rsidRDefault="00E369F7" w:rsidP="00C921E7">
      <w:pPr>
        <w:pStyle w:val="Heading3"/>
      </w:pPr>
      <w:r w:rsidRPr="00C32958">
        <w:t xml:space="preserve">Thyroid </w:t>
      </w:r>
      <w:r w:rsidRPr="00C921E7">
        <w:t>Cancer</w:t>
      </w:r>
      <w:r w:rsidRPr="00C921E7">
        <w:rPr>
          <w:vertAlign w:val="superscript"/>
        </w:rPr>
        <w:t>1-3</w:t>
      </w:r>
    </w:p>
    <w:p w14:paraId="1953603F" w14:textId="229BAF87" w:rsidR="00E369F7" w:rsidRPr="00C32958" w:rsidRDefault="00E369F7" w:rsidP="00C921E7">
      <w:pPr>
        <w:pStyle w:val="BodyText"/>
      </w:pPr>
      <w:r w:rsidRPr="00C32958">
        <w:t>Authorization of 12 months may be granted for treatment of thyroid cancer with a RET gene mutation when any of the following criteria are met:</w:t>
      </w:r>
    </w:p>
    <w:p w14:paraId="2EA007BC" w14:textId="49A993CD" w:rsidR="00E369F7" w:rsidRPr="00C921E7" w:rsidRDefault="00E369F7" w:rsidP="00C921E7">
      <w:pPr>
        <w:pStyle w:val="ListParagraph"/>
        <w:numPr>
          <w:ilvl w:val="0"/>
          <w:numId w:val="40"/>
        </w:numPr>
      </w:pPr>
      <w:r w:rsidRPr="00C921E7">
        <w:lastRenderedPageBreak/>
        <w:t>Member has locoregional or metastatic anaplastic thyroid cancer and the requested medication will be used as a single agent</w:t>
      </w:r>
    </w:p>
    <w:p w14:paraId="4C558FA3" w14:textId="463B8157" w:rsidR="00E369F7" w:rsidRPr="00C921E7" w:rsidRDefault="00E369F7" w:rsidP="00C921E7">
      <w:pPr>
        <w:pStyle w:val="ListParagraph"/>
        <w:numPr>
          <w:ilvl w:val="0"/>
          <w:numId w:val="40"/>
        </w:numPr>
      </w:pPr>
      <w:r w:rsidRPr="00C921E7">
        <w:t>Member has unresectable, recurrent,</w:t>
      </w:r>
      <w:r w:rsidR="006A1565">
        <w:t xml:space="preserve"> persistent,</w:t>
      </w:r>
      <w:r w:rsidRPr="00C921E7">
        <w:t xml:space="preserve"> advanced, or metastatic medullary thyroid cancer</w:t>
      </w:r>
    </w:p>
    <w:p w14:paraId="4BC7128A" w14:textId="26E25CA0" w:rsidR="00E369F7" w:rsidRPr="00C921E7" w:rsidRDefault="00E369F7" w:rsidP="00C921E7">
      <w:pPr>
        <w:pStyle w:val="ListParagraph"/>
        <w:numPr>
          <w:ilvl w:val="0"/>
          <w:numId w:val="40"/>
        </w:numPr>
      </w:pPr>
      <w:r w:rsidRPr="00C921E7">
        <w:t xml:space="preserve">Member has progressive/symptomatic, advanced, or metastatic follicular, </w:t>
      </w:r>
      <w:proofErr w:type="spellStart"/>
      <w:r w:rsidRPr="00C921E7">
        <w:t>oncocytic</w:t>
      </w:r>
      <w:proofErr w:type="spellEnd"/>
      <w:r w:rsidRPr="00C921E7">
        <w:t>/</w:t>
      </w:r>
      <w:proofErr w:type="spellStart"/>
      <w:r w:rsidRPr="00C921E7">
        <w:t>Hürthle</w:t>
      </w:r>
      <w:proofErr w:type="spellEnd"/>
      <w:r w:rsidRPr="00C921E7">
        <w:t xml:space="preserve"> cell, or papillary thyroid carcinoma that is not amenable to radioactive iodine therapy</w:t>
      </w:r>
    </w:p>
    <w:p w14:paraId="2F1F253B" w14:textId="08732B05" w:rsidR="00E369F7" w:rsidRPr="00C32958" w:rsidRDefault="00E369F7" w:rsidP="00C921E7">
      <w:pPr>
        <w:pStyle w:val="Heading3"/>
      </w:pPr>
      <w:r w:rsidRPr="00C32958">
        <w:t>Solid Tumors</w:t>
      </w:r>
      <w:r w:rsidRPr="00C921E7">
        <w:rPr>
          <w:vertAlign w:val="superscript"/>
        </w:rPr>
        <w:t>1,2</w:t>
      </w:r>
    </w:p>
    <w:p w14:paraId="58E40DE4" w14:textId="3340D551" w:rsidR="00E369F7" w:rsidRPr="00C32958" w:rsidRDefault="00E369F7" w:rsidP="00C921E7">
      <w:pPr>
        <w:pStyle w:val="BodyText"/>
      </w:pPr>
      <w:r w:rsidRPr="00C32958">
        <w:t xml:space="preserve">Authorization of 12 months may be granted for treatment of solid tumors when </w:t>
      </w:r>
      <w:proofErr w:type="gramStart"/>
      <w:r w:rsidRPr="00C32958">
        <w:t>all of</w:t>
      </w:r>
      <w:proofErr w:type="gramEnd"/>
      <w:r w:rsidRPr="00C32958">
        <w:t xml:space="preserve"> the following criteria are met:</w:t>
      </w:r>
    </w:p>
    <w:p w14:paraId="3FF5CC47" w14:textId="59444E4E" w:rsidR="00E369F7" w:rsidRPr="00C921E7" w:rsidRDefault="00E369F7" w:rsidP="00C921E7">
      <w:pPr>
        <w:pStyle w:val="ListParagraph"/>
        <w:numPr>
          <w:ilvl w:val="0"/>
          <w:numId w:val="39"/>
        </w:numPr>
      </w:pPr>
      <w:r w:rsidRPr="00C921E7">
        <w:t>The disease is recurrent, persistent, progressive, unresectable, advanced or metastatic</w:t>
      </w:r>
    </w:p>
    <w:p w14:paraId="53AAA193" w14:textId="2C7CE3EC" w:rsidR="00E369F7" w:rsidRPr="00C921E7" w:rsidRDefault="00E369F7" w:rsidP="00C921E7">
      <w:pPr>
        <w:pStyle w:val="ListParagraph"/>
        <w:numPr>
          <w:ilvl w:val="0"/>
          <w:numId w:val="39"/>
        </w:numPr>
      </w:pPr>
      <w:r w:rsidRPr="00C921E7">
        <w:t>The tumor has a RET gene fusion</w:t>
      </w:r>
    </w:p>
    <w:p w14:paraId="54055FD0" w14:textId="4E40A98D" w:rsidR="00E369F7" w:rsidRPr="00C921E7" w:rsidRDefault="00E369F7" w:rsidP="00C921E7">
      <w:pPr>
        <w:pStyle w:val="ListParagraph"/>
        <w:numPr>
          <w:ilvl w:val="0"/>
          <w:numId w:val="39"/>
        </w:numPr>
      </w:pPr>
      <w:r w:rsidRPr="00C921E7">
        <w:t>Member has not responded to preoperative therapy, has progressed on or following prior systemic treatment, or has no satisfactory alternative treatment options</w:t>
      </w:r>
    </w:p>
    <w:p w14:paraId="6D399F7A" w14:textId="21B577BE" w:rsidR="00E369F7" w:rsidRPr="00C921E7" w:rsidRDefault="00E369F7" w:rsidP="00C921E7">
      <w:pPr>
        <w:pStyle w:val="ListParagraph"/>
        <w:numPr>
          <w:ilvl w:val="0"/>
          <w:numId w:val="39"/>
        </w:numPr>
      </w:pPr>
      <w:r w:rsidRPr="00C921E7">
        <w:t>If the member has one of the following solid tumors, the requested medication will be used as a single agent:</w:t>
      </w:r>
    </w:p>
    <w:p w14:paraId="56A80142" w14:textId="49BF6E9E" w:rsidR="00E369F7" w:rsidRPr="00C921E7" w:rsidRDefault="00E369F7" w:rsidP="00C921E7">
      <w:pPr>
        <w:pStyle w:val="ListParagraph"/>
        <w:numPr>
          <w:ilvl w:val="1"/>
          <w:numId w:val="41"/>
        </w:numPr>
      </w:pPr>
      <w:r w:rsidRPr="00C921E7">
        <w:t>Epithelial ovarian cancer, fallopian tube cancer, primary peritoneal cancer</w:t>
      </w:r>
    </w:p>
    <w:p w14:paraId="23989BCF" w14:textId="31279BFD" w:rsidR="00E369F7" w:rsidRPr="00C921E7" w:rsidRDefault="00E369F7" w:rsidP="00C921E7">
      <w:pPr>
        <w:pStyle w:val="ListParagraph"/>
        <w:numPr>
          <w:ilvl w:val="1"/>
          <w:numId w:val="41"/>
        </w:numPr>
      </w:pPr>
      <w:r w:rsidRPr="00C921E7">
        <w:t>Cervical cancer</w:t>
      </w:r>
    </w:p>
    <w:p w14:paraId="309E0D39" w14:textId="5798045D" w:rsidR="00E369F7" w:rsidRPr="00C921E7" w:rsidRDefault="00E369F7" w:rsidP="00C921E7">
      <w:pPr>
        <w:pStyle w:val="ListParagraph"/>
        <w:numPr>
          <w:ilvl w:val="1"/>
          <w:numId w:val="41"/>
        </w:numPr>
      </w:pPr>
      <w:r w:rsidRPr="00C921E7">
        <w:t>Small bowel adenocarcinoma</w:t>
      </w:r>
    </w:p>
    <w:p w14:paraId="3A6DFFF3" w14:textId="7DEC3A40" w:rsidR="00E369F7" w:rsidRPr="00C921E7" w:rsidRDefault="00E369F7" w:rsidP="00C921E7">
      <w:pPr>
        <w:pStyle w:val="ListParagraph"/>
        <w:numPr>
          <w:ilvl w:val="1"/>
          <w:numId w:val="41"/>
        </w:numPr>
      </w:pPr>
      <w:r w:rsidRPr="00C921E7">
        <w:t>Colorectal cancer, including appendiceal adenocarcinoma and anal adenocarcinoma</w:t>
      </w:r>
    </w:p>
    <w:p w14:paraId="22E8B8FC" w14:textId="78B243A8" w:rsidR="00E369F7" w:rsidRPr="00C921E7" w:rsidRDefault="00D90051" w:rsidP="00C921E7">
      <w:pPr>
        <w:pStyle w:val="ListParagraph"/>
        <w:numPr>
          <w:ilvl w:val="1"/>
          <w:numId w:val="41"/>
        </w:numPr>
      </w:pPr>
      <w:r>
        <w:t>I</w:t>
      </w:r>
      <w:r w:rsidR="00E369F7" w:rsidRPr="00C921E7">
        <w:t>ntrahepatic and extrahepatic cholangiocarcinoma</w:t>
      </w:r>
    </w:p>
    <w:p w14:paraId="550D6F3E" w14:textId="12683679" w:rsidR="00E369F7" w:rsidRPr="00C921E7" w:rsidRDefault="00E369F7" w:rsidP="00C921E7">
      <w:pPr>
        <w:pStyle w:val="ListParagraph"/>
        <w:numPr>
          <w:ilvl w:val="1"/>
          <w:numId w:val="41"/>
        </w:numPr>
      </w:pPr>
      <w:r w:rsidRPr="00C921E7">
        <w:t>Breast cancer</w:t>
      </w:r>
    </w:p>
    <w:p w14:paraId="7F71733D" w14:textId="42FE8C9C" w:rsidR="00E369F7" w:rsidRPr="00C921E7" w:rsidRDefault="00E369F7" w:rsidP="00C921E7">
      <w:pPr>
        <w:pStyle w:val="ListParagraph"/>
        <w:numPr>
          <w:ilvl w:val="1"/>
          <w:numId w:val="41"/>
        </w:numPr>
      </w:pPr>
      <w:r w:rsidRPr="00C921E7">
        <w:t>Salivary gland tumors</w:t>
      </w:r>
    </w:p>
    <w:p w14:paraId="3E5EE392" w14:textId="3A650F8B" w:rsidR="00E369F7" w:rsidRPr="00C921E7" w:rsidRDefault="00E369F7" w:rsidP="00C921E7">
      <w:pPr>
        <w:pStyle w:val="ListParagraph"/>
        <w:numPr>
          <w:ilvl w:val="1"/>
          <w:numId w:val="41"/>
        </w:numPr>
      </w:pPr>
      <w:r w:rsidRPr="00C921E7">
        <w:t>Esophageal and esophagogastric junction cancers</w:t>
      </w:r>
    </w:p>
    <w:p w14:paraId="00E9DD24" w14:textId="3090446F" w:rsidR="00E369F7" w:rsidRPr="00C921E7" w:rsidRDefault="00E369F7" w:rsidP="0002694B">
      <w:pPr>
        <w:pStyle w:val="ListParagraph"/>
        <w:numPr>
          <w:ilvl w:val="1"/>
          <w:numId w:val="41"/>
        </w:numPr>
      </w:pPr>
      <w:r w:rsidRPr="00C921E7">
        <w:t>Gastric cancer</w:t>
      </w:r>
    </w:p>
    <w:p w14:paraId="6099B273" w14:textId="72FCE14C" w:rsidR="00E369F7" w:rsidRPr="00C921E7" w:rsidRDefault="006D7904" w:rsidP="00C921E7">
      <w:pPr>
        <w:pStyle w:val="ListParagraph"/>
        <w:numPr>
          <w:ilvl w:val="1"/>
          <w:numId w:val="41"/>
        </w:numPr>
      </w:pPr>
      <w:r>
        <w:t>Vaginal cancer</w:t>
      </w:r>
    </w:p>
    <w:p w14:paraId="035FDAB5" w14:textId="6A5C2754" w:rsidR="00E369F7" w:rsidRPr="00C32958" w:rsidRDefault="00E369F7" w:rsidP="00C921E7">
      <w:pPr>
        <w:pStyle w:val="Heading3"/>
      </w:pPr>
      <w:r w:rsidRPr="00C32958">
        <w:t xml:space="preserve">Histiocytic </w:t>
      </w:r>
      <w:r w:rsidRPr="00C921E7">
        <w:t>Neoplasms</w:t>
      </w:r>
      <w:r w:rsidRPr="00C921E7">
        <w:rPr>
          <w:vertAlign w:val="superscript"/>
        </w:rPr>
        <w:t>2</w:t>
      </w:r>
    </w:p>
    <w:p w14:paraId="0F56035C" w14:textId="6C5DB221" w:rsidR="00E369F7" w:rsidRPr="00C32958" w:rsidRDefault="00E369F7" w:rsidP="00C921E7">
      <w:pPr>
        <w:pStyle w:val="BodyText"/>
      </w:pPr>
      <w:r w:rsidRPr="00C32958">
        <w:t>Authorization of 12 months may be granted for the treatment of any of the following histiocytic neoplasm subtypes as a single agent in members with a RET gene fusion:</w:t>
      </w:r>
    </w:p>
    <w:p w14:paraId="71CB9D56" w14:textId="61879C6A" w:rsidR="00E369F7" w:rsidRPr="00C921E7" w:rsidRDefault="00E369F7" w:rsidP="00C921E7">
      <w:pPr>
        <w:pStyle w:val="ListParagraph"/>
        <w:numPr>
          <w:ilvl w:val="0"/>
          <w:numId w:val="43"/>
        </w:numPr>
      </w:pPr>
      <w:r w:rsidRPr="00C921E7">
        <w:t xml:space="preserve">Symptomatic or relapsed/refractory </w:t>
      </w:r>
      <w:proofErr w:type="spellStart"/>
      <w:r w:rsidRPr="00C921E7">
        <w:t>Erdheim</w:t>
      </w:r>
      <w:proofErr w:type="spellEnd"/>
      <w:r w:rsidRPr="00C921E7">
        <w:t>-Chester Disease (ECD)</w:t>
      </w:r>
    </w:p>
    <w:p w14:paraId="2B5FDFEF" w14:textId="2A88753C" w:rsidR="00E369F7" w:rsidRPr="00C921E7" w:rsidRDefault="00E369F7" w:rsidP="00C921E7">
      <w:pPr>
        <w:pStyle w:val="ListParagraph"/>
        <w:numPr>
          <w:ilvl w:val="0"/>
          <w:numId w:val="43"/>
        </w:numPr>
      </w:pPr>
      <w:r w:rsidRPr="00C921E7">
        <w:t>Symptomatic or relapsed/refractory Rosai-Dorfman Disease</w:t>
      </w:r>
    </w:p>
    <w:p w14:paraId="68D448A4" w14:textId="500659C2" w:rsidR="00E369F7" w:rsidRDefault="00E369F7" w:rsidP="00C921E7">
      <w:pPr>
        <w:pStyle w:val="ListParagraph"/>
        <w:numPr>
          <w:ilvl w:val="0"/>
          <w:numId w:val="43"/>
        </w:numPr>
      </w:pPr>
      <w:r w:rsidRPr="00C921E7">
        <w:t>Langerhans Cell Histiocytosis (LCH)</w:t>
      </w:r>
    </w:p>
    <w:p w14:paraId="32F397F7" w14:textId="3D83EE45" w:rsidR="00E369F7" w:rsidRPr="00C32958" w:rsidRDefault="00E369F7" w:rsidP="00C921E7">
      <w:pPr>
        <w:pStyle w:val="Heading3"/>
      </w:pPr>
      <w:r w:rsidRPr="00C32958">
        <w:t xml:space="preserve">Occult </w:t>
      </w:r>
      <w:r w:rsidRPr="00C921E7">
        <w:t>Primary</w:t>
      </w:r>
      <w:r w:rsidRPr="00C32958">
        <w:t xml:space="preserve"> Cancer</w:t>
      </w:r>
      <w:r w:rsidRPr="00C32958">
        <w:rPr>
          <w:vertAlign w:val="superscript"/>
        </w:rPr>
        <w:t>2</w:t>
      </w:r>
    </w:p>
    <w:p w14:paraId="554B6E8F" w14:textId="1DDCA7BD" w:rsidR="00B836B0" w:rsidRDefault="00E369F7" w:rsidP="00C921E7">
      <w:pPr>
        <w:pStyle w:val="BodyText"/>
      </w:pPr>
      <w:r w:rsidRPr="00C32958">
        <w:t>Authorization of 12 months may be granted for treatment of occult primary cancer with a RET gene fusion that has progressed on or following systemic treatment, or who have no satisfactory alternative treatment options, when used as a single agent.</w:t>
      </w:r>
    </w:p>
    <w:p w14:paraId="2655C11E" w14:textId="57D8F3F4" w:rsidR="009F4854" w:rsidRDefault="00486A28" w:rsidP="009F4854">
      <w:pPr>
        <w:pStyle w:val="Heading3"/>
      </w:pPr>
      <w:r>
        <w:lastRenderedPageBreak/>
        <w:t>Gallbladder Cancer</w:t>
      </w:r>
      <w:r w:rsidR="009F4854" w:rsidRPr="001F1A03">
        <w:rPr>
          <w:vertAlign w:val="superscript"/>
        </w:rPr>
        <w:t>2</w:t>
      </w:r>
    </w:p>
    <w:p w14:paraId="40B8A2AC" w14:textId="77777777" w:rsidR="00F567B5" w:rsidRPr="00F567B5" w:rsidRDefault="00F567B5" w:rsidP="001F1A03">
      <w:pPr>
        <w:pStyle w:val="ListParagraph"/>
      </w:pPr>
      <w:r w:rsidRPr="00F567B5">
        <w:t xml:space="preserve">Authorization of 12 months may be granted for treatment of unresectable, resected gross residual (R2) or metastatic gallbladder cancer with a </w:t>
      </w:r>
      <w:r w:rsidRPr="001F1A03">
        <w:t>RET gene fusion</w:t>
      </w:r>
      <w:r w:rsidRPr="00F567B5">
        <w:t xml:space="preserve"> that has progressed on or following systemic treatment, when used as a single agent.</w:t>
      </w:r>
    </w:p>
    <w:p w14:paraId="2679C550" w14:textId="06457010" w:rsidR="009F4854" w:rsidRDefault="00F567B5" w:rsidP="001F1A03">
      <w:pPr>
        <w:pStyle w:val="ListParagraph"/>
      </w:pPr>
      <w:r w:rsidRPr="00F567B5">
        <w:t xml:space="preserve">Authorization of 12 months may be granted for the neoadjuvant treatment of resectable locoregionally advanced gallbladder cancer with a </w:t>
      </w:r>
      <w:r w:rsidRPr="001F1A03">
        <w:t>RET gene fusion</w:t>
      </w:r>
      <w:r w:rsidRPr="00F567B5">
        <w:t>, when used as a single agent.</w:t>
      </w:r>
    </w:p>
    <w:p w14:paraId="7724992C" w14:textId="45C5438B" w:rsidR="005A23CB" w:rsidRDefault="005A23CB" w:rsidP="005A23CB">
      <w:pPr>
        <w:pStyle w:val="Heading3"/>
        <w:rPr>
          <w:vertAlign w:val="superscript"/>
        </w:rPr>
      </w:pPr>
      <w:r w:rsidRPr="00C921E7">
        <w:t xml:space="preserve">Pancreatic </w:t>
      </w:r>
      <w:r w:rsidR="00B11D41">
        <w:t>A</w:t>
      </w:r>
      <w:r w:rsidRPr="00C921E7">
        <w:t>denocarcinoma</w:t>
      </w:r>
      <w:r w:rsidRPr="007E3036">
        <w:rPr>
          <w:vertAlign w:val="superscript"/>
        </w:rPr>
        <w:t>2</w:t>
      </w:r>
    </w:p>
    <w:p w14:paraId="324BAB15" w14:textId="7F3494BB" w:rsidR="005A23CB" w:rsidRDefault="005A23CB" w:rsidP="005A23CB">
      <w:pPr>
        <w:pStyle w:val="BodyText"/>
      </w:pPr>
      <w:r w:rsidRPr="00C32958">
        <w:t>Authorization of 12 months may be granted for treatment of</w:t>
      </w:r>
      <w:r w:rsidRPr="005A23CB">
        <w:t xml:space="preserve"> </w:t>
      </w:r>
      <w:r>
        <w:t>locally advanced, recurrent or metastatic p</w:t>
      </w:r>
      <w:r w:rsidRPr="00C921E7">
        <w:t>ancreatic adenocarcinoma</w:t>
      </w:r>
      <w:r>
        <w:t xml:space="preserve"> </w:t>
      </w:r>
      <w:r w:rsidRPr="00C32958">
        <w:t>with a RET gene fusion when used as a single agent</w:t>
      </w:r>
      <w:r w:rsidR="00B40FDA">
        <w:t>.</w:t>
      </w:r>
    </w:p>
    <w:p w14:paraId="16B53F32" w14:textId="584B4B93" w:rsidR="00B40FDA" w:rsidRDefault="00B40FDA" w:rsidP="00B40FDA">
      <w:pPr>
        <w:pStyle w:val="Heading3"/>
        <w:rPr>
          <w:vertAlign w:val="superscript"/>
        </w:rPr>
      </w:pPr>
      <w:r>
        <w:t>Uterine Sarcoma</w:t>
      </w:r>
      <w:r w:rsidRPr="007E3036">
        <w:rPr>
          <w:vertAlign w:val="superscript"/>
        </w:rPr>
        <w:t>2</w:t>
      </w:r>
    </w:p>
    <w:p w14:paraId="594F52CE" w14:textId="246EB776" w:rsidR="00B40FDA" w:rsidRDefault="00B40FDA" w:rsidP="00B40FDA">
      <w:pPr>
        <w:pStyle w:val="BodyText"/>
      </w:pPr>
      <w:r w:rsidRPr="00C32958">
        <w:t>Authorization of 12 months may be granted for treatment of</w:t>
      </w:r>
      <w:r w:rsidRPr="005A23CB">
        <w:t xml:space="preserve"> </w:t>
      </w:r>
      <w:r>
        <w:t xml:space="preserve">advanced, recurrent/metastatic or inoperable uterine sarcoma </w:t>
      </w:r>
      <w:r w:rsidRPr="00C32958">
        <w:t>with a RET gene fusion when used as a single agent</w:t>
      </w:r>
      <w:r>
        <w:t>.</w:t>
      </w:r>
    </w:p>
    <w:p w14:paraId="280C8E7B" w14:textId="3517E997" w:rsidR="003542C2" w:rsidRPr="00C921E7" w:rsidRDefault="003542C2" w:rsidP="007E3036">
      <w:pPr>
        <w:pStyle w:val="Heading3"/>
      </w:pPr>
      <w:r w:rsidRPr="00C921E7">
        <w:t xml:space="preserve">Ampullary </w:t>
      </w:r>
      <w:r>
        <w:t>A</w:t>
      </w:r>
      <w:r w:rsidRPr="00C921E7">
        <w:t>denocarcinoma</w:t>
      </w:r>
      <w:r w:rsidRPr="007E3036">
        <w:rPr>
          <w:vertAlign w:val="superscript"/>
        </w:rPr>
        <w:t>2</w:t>
      </w:r>
    </w:p>
    <w:p w14:paraId="574E933B" w14:textId="265BFC05" w:rsidR="003542C2" w:rsidRDefault="003542C2" w:rsidP="003542C2">
      <w:pPr>
        <w:pStyle w:val="BodyText"/>
      </w:pPr>
      <w:r w:rsidRPr="00C32958">
        <w:t>Authorization of 12 months may be granted for treatment of</w:t>
      </w:r>
      <w:r w:rsidRPr="005A23CB">
        <w:t xml:space="preserve"> </w:t>
      </w:r>
      <w:r>
        <w:t xml:space="preserve">ampullary adenocarcinoma </w:t>
      </w:r>
      <w:r w:rsidRPr="00C32958">
        <w:t>with a RET gene fusion when used as a single agent</w:t>
      </w:r>
      <w:r>
        <w:t xml:space="preserve"> and either of the following criteria is met:</w:t>
      </w:r>
    </w:p>
    <w:p w14:paraId="6B541B39" w14:textId="2EE974D5" w:rsidR="003542C2" w:rsidRDefault="003542C2" w:rsidP="003542C2">
      <w:pPr>
        <w:pStyle w:val="ListParagraph"/>
      </w:pPr>
      <w:r w:rsidRPr="00C921E7">
        <w:t>The disease is progressive</w:t>
      </w:r>
      <w:r>
        <w:t xml:space="preserve"> or</w:t>
      </w:r>
    </w:p>
    <w:p w14:paraId="30508B79" w14:textId="61B65EE2" w:rsidR="003542C2" w:rsidRDefault="003542C2" w:rsidP="003542C2">
      <w:pPr>
        <w:pStyle w:val="ListParagraph"/>
      </w:pPr>
      <w:r w:rsidRPr="00C921E7">
        <w:t xml:space="preserve">The disease is </w:t>
      </w:r>
      <w:proofErr w:type="gramStart"/>
      <w:r>
        <w:t>metastatic</w:t>
      </w:r>
      <w:proofErr w:type="gramEnd"/>
      <w:r>
        <w:t xml:space="preserve"> and the requested medication will be used for first-line therapy.</w:t>
      </w:r>
    </w:p>
    <w:p w14:paraId="7C9C12C0" w14:textId="528D9326" w:rsidR="00DB2395" w:rsidRPr="00C01E18" w:rsidRDefault="00DB2395" w:rsidP="007E3036">
      <w:pPr>
        <w:pStyle w:val="Heading3"/>
      </w:pPr>
      <w:r w:rsidRPr="00C01E18">
        <w:t>Soft Tissue Sarcoma</w:t>
      </w:r>
      <w:r w:rsidRPr="007E3036">
        <w:rPr>
          <w:vertAlign w:val="superscript"/>
        </w:rPr>
        <w:t>2</w:t>
      </w:r>
    </w:p>
    <w:p w14:paraId="6C51DE72" w14:textId="688AA483" w:rsidR="00DB2395" w:rsidRDefault="00DB2395" w:rsidP="00DB2395">
      <w:pPr>
        <w:pStyle w:val="BodyText"/>
      </w:pPr>
      <w:r w:rsidRPr="00C32958">
        <w:t xml:space="preserve">Authorization of 12 months may be granted for treatment of </w:t>
      </w:r>
      <w:r w:rsidR="0002694B">
        <w:t xml:space="preserve">advanced or metastatic </w:t>
      </w:r>
      <w:r>
        <w:t>soft tissue sarcoma (including</w:t>
      </w:r>
      <w:r w:rsidRPr="00DB2395">
        <w:t xml:space="preserve"> </w:t>
      </w:r>
      <w:r w:rsidRPr="00C921E7">
        <w:t>extremity/body wall, head/neck, retroperitoneal/intra-abdominal sarcoma</w:t>
      </w:r>
      <w:r>
        <w:t xml:space="preserve">) and </w:t>
      </w:r>
      <w:r w:rsidRPr="007E3036">
        <w:t>pleomorphic rhabdomyosarcoma</w:t>
      </w:r>
      <w:r>
        <w:t xml:space="preserve"> </w:t>
      </w:r>
      <w:r w:rsidRPr="00C32958">
        <w:t>with a RET gene fusion when used as a single agent.</w:t>
      </w:r>
    </w:p>
    <w:p w14:paraId="393805FE" w14:textId="6063E14C" w:rsidR="0002694B" w:rsidRPr="007E3036" w:rsidRDefault="0002694B" w:rsidP="007E3036">
      <w:pPr>
        <w:pStyle w:val="Heading3"/>
        <w:rPr>
          <w:bCs w:val="0"/>
        </w:rPr>
      </w:pPr>
      <w:r w:rsidRPr="007E3036">
        <w:t>Neuroendocrine and Adrenal Tumors</w:t>
      </w:r>
      <w:r w:rsidRPr="007E3036">
        <w:rPr>
          <w:vertAlign w:val="superscript"/>
        </w:rPr>
        <w:t>2</w:t>
      </w:r>
    </w:p>
    <w:p w14:paraId="58EC8482" w14:textId="1768E83F" w:rsidR="0002694B" w:rsidRPr="0002694B" w:rsidRDefault="0002694B" w:rsidP="007E3036">
      <w:pPr>
        <w:pStyle w:val="BodyText"/>
      </w:pPr>
      <w:r w:rsidRPr="00C32958">
        <w:t>Authorization of 12 months may be granted for treatment of</w:t>
      </w:r>
      <w:r w:rsidR="00C01E18">
        <w:t xml:space="preserve"> </w:t>
      </w:r>
      <w:r w:rsidR="00C01E18" w:rsidRPr="007E3036">
        <w:t>locoregional unresectable or metastatic</w:t>
      </w:r>
      <w:r w:rsidRPr="00C32958">
        <w:t xml:space="preserve"> </w:t>
      </w:r>
      <w:r w:rsidRPr="0002694B">
        <w:t>neuroendocrine carcinoma/large or small cell carcinoma/mixed neuroendocrine-non-neuroendocrine neoplasm</w:t>
      </w:r>
      <w:r w:rsidR="00487473">
        <w:t xml:space="preserve"> that are extrapulmonary poorly differentiated</w:t>
      </w:r>
      <w:r>
        <w:t xml:space="preserve"> </w:t>
      </w:r>
      <w:r w:rsidR="00CC2FB2">
        <w:t xml:space="preserve">or </w:t>
      </w:r>
      <w:r w:rsidR="00FD7116">
        <w:t>p</w:t>
      </w:r>
      <w:r w:rsidR="00FD7116" w:rsidRPr="00674AED">
        <w:t>heochromocytoma/</w:t>
      </w:r>
      <w:r w:rsidR="00FD7116">
        <w:t>p</w:t>
      </w:r>
      <w:r w:rsidR="00FD7116" w:rsidRPr="00674AED">
        <w:t>araganglioma</w:t>
      </w:r>
      <w:r w:rsidR="00FD7116">
        <w:t xml:space="preserve"> </w:t>
      </w:r>
      <w:r w:rsidRPr="00C32958">
        <w:t>with a RET gene fusion that has progressed on or following systemic treatment, or who have no satisfactory alternative treatment options.</w:t>
      </w:r>
    </w:p>
    <w:p w14:paraId="3A643EC3" w14:textId="2747345E" w:rsidR="00A501AC" w:rsidRPr="00C32958" w:rsidRDefault="00A501AC" w:rsidP="006F346E">
      <w:pPr>
        <w:pStyle w:val="Heading2"/>
        <w:tabs>
          <w:tab w:val="left" w:pos="9825"/>
        </w:tabs>
      </w:pPr>
      <w:r w:rsidRPr="00C32958">
        <w:lastRenderedPageBreak/>
        <w:t>Continuation of Therapy</w:t>
      </w:r>
    </w:p>
    <w:p w14:paraId="32C8905D" w14:textId="5FD05BDA" w:rsidR="00A501AC" w:rsidRPr="00C32958" w:rsidRDefault="00C41EFA" w:rsidP="003D46B0">
      <w:pPr>
        <w:pStyle w:val="BodyText"/>
      </w:pPr>
      <w:r w:rsidRPr="00C32958">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0958B12D" w:rsidR="00FF66BF" w:rsidRPr="00C32958" w:rsidRDefault="00FF66BF" w:rsidP="00FF66BF">
      <w:pPr>
        <w:pStyle w:val="Heading2"/>
      </w:pPr>
      <w:r w:rsidRPr="00C32958">
        <w:t>References</w:t>
      </w:r>
    </w:p>
    <w:p w14:paraId="20F62645" w14:textId="356284A7" w:rsidR="00C41EFA" w:rsidRPr="00C32958" w:rsidRDefault="00C41EFA" w:rsidP="00C41EFA">
      <w:pPr>
        <w:pStyle w:val="ReferenceOrdered"/>
      </w:pPr>
      <w:r w:rsidRPr="00C32958">
        <w:t xml:space="preserve">Retevmo [package insert]. Indianapolis, IN: Lilly USA, LLC; </w:t>
      </w:r>
      <w:r w:rsidR="00BB4172">
        <w:t xml:space="preserve">December </w:t>
      </w:r>
      <w:r w:rsidR="006B3B6B">
        <w:t>2024</w:t>
      </w:r>
      <w:r w:rsidRPr="00C32958">
        <w:t xml:space="preserve">. </w:t>
      </w:r>
    </w:p>
    <w:p w14:paraId="1E26DFE4" w14:textId="104A1DE7" w:rsidR="00C41EFA" w:rsidRPr="00C32958" w:rsidRDefault="00C41EFA" w:rsidP="00C41EFA">
      <w:pPr>
        <w:pStyle w:val="ReferenceOrdered"/>
      </w:pPr>
      <w:r w:rsidRPr="00C32958">
        <w:t xml:space="preserve">The NCCN Drugs &amp; Biologics Compendium® © </w:t>
      </w:r>
      <w:r w:rsidR="00BB4172" w:rsidRPr="00C32958">
        <w:t>202</w:t>
      </w:r>
      <w:r w:rsidR="00BB4172">
        <w:t>5</w:t>
      </w:r>
      <w:r w:rsidR="00BB4172" w:rsidRPr="00C32958">
        <w:t xml:space="preserve"> </w:t>
      </w:r>
      <w:r w:rsidRPr="00C32958">
        <w:t xml:space="preserve">National Comprehensive Cancer Network, Inc. https://www.nccn.org. Accessed </w:t>
      </w:r>
      <w:r w:rsidR="00BB4172">
        <w:t>February 26</w:t>
      </w:r>
      <w:r w:rsidRPr="00C32958">
        <w:t xml:space="preserve">, </w:t>
      </w:r>
      <w:r w:rsidR="00BB4172" w:rsidRPr="00C32958">
        <w:t>202</w:t>
      </w:r>
      <w:r w:rsidR="00BB4172">
        <w:t>5</w:t>
      </w:r>
      <w:r w:rsidRPr="00C32958">
        <w:t xml:space="preserve">. </w:t>
      </w:r>
    </w:p>
    <w:p w14:paraId="5467DCFF" w14:textId="77777777" w:rsidR="00C41EFA" w:rsidRDefault="00C41EFA" w:rsidP="00C41EFA">
      <w:pPr>
        <w:pStyle w:val="ReferenceOrdered"/>
      </w:pPr>
      <w:r w:rsidRPr="00C32958">
        <w:t xml:space="preserve">Morgenstern D, </w:t>
      </w:r>
      <w:proofErr w:type="spellStart"/>
      <w:r w:rsidRPr="00C32958">
        <w:t>Mascarenhas</w:t>
      </w:r>
      <w:proofErr w:type="spellEnd"/>
      <w:r w:rsidRPr="00C32958">
        <w:t xml:space="preserve"> L, Campbell M, et al. Oral </w:t>
      </w:r>
      <w:proofErr w:type="spellStart"/>
      <w:r w:rsidRPr="00C32958">
        <w:t>selpercatinib</w:t>
      </w:r>
      <w:proofErr w:type="spellEnd"/>
      <w:r w:rsidRPr="00C32958">
        <w:t xml:space="preserve"> in pediatric patients with advanced</w:t>
      </w:r>
      <w:r w:rsidRPr="00C32958">
        <w:rPr>
          <w:rFonts w:ascii="Arial" w:hAnsi="Arial"/>
        </w:rPr>
        <w:t> </w:t>
      </w:r>
      <w:r w:rsidRPr="00C32958">
        <w:t>RET-altered solid or primary CNS tumors: preliminary results from the phase 1/2 LIBRETTO-121 trial.</w:t>
      </w:r>
      <w:r w:rsidRPr="00C32958">
        <w:rPr>
          <w:rFonts w:ascii="Arial" w:hAnsi="Arial"/>
        </w:rPr>
        <w:t> </w:t>
      </w:r>
      <w:r w:rsidRPr="00C32958">
        <w:t>J Clin Oncol. 2021;39(suppl 15):10009</w:t>
      </w:r>
    </w:p>
    <w:sectPr w:rsidR="00C41EFA" w:rsidSect="00341C4C">
      <w:headerReference w:type="first" r:id="rId15"/>
      <w:footerReference w:type="first" r:id="rId16"/>
      <w:type w:val="continuous"/>
      <w:pgSz w:w="12240" w:h="15840" w:code="1"/>
      <w:pgMar w:top="900" w:right="720" w:bottom="990" w:left="720" w:header="720" w:footer="501"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B517F" w14:textId="77777777" w:rsidR="00947401" w:rsidRDefault="00947401">
      <w:r>
        <w:separator/>
      </w:r>
    </w:p>
  </w:endnote>
  <w:endnote w:type="continuationSeparator" w:id="0">
    <w:p w14:paraId="0ED3EE54" w14:textId="77777777" w:rsidR="00947401" w:rsidRDefault="00947401">
      <w:r>
        <w:continuationSeparator/>
      </w:r>
    </w:p>
  </w:endnote>
  <w:endnote w:type="continuationNotice" w:id="1">
    <w:p w14:paraId="648D3FD4" w14:textId="77777777" w:rsidR="00947401" w:rsidRDefault="009474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05C8F56"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41C4C" w:rsidRPr="00341C4C">
      <w:rPr>
        <w:rFonts w:cs="Arial"/>
        <w:noProof/>
        <w:sz w:val="16"/>
        <w:szCs w:val="16"/>
      </w:rPr>
      <w:t>Retevmo</w:t>
    </w:r>
    <w:r w:rsidR="00341C4C">
      <w:rPr>
        <w:rFonts w:cs="Arial"/>
        <w:noProof/>
        <w:snapToGrid w:val="0"/>
        <w:color w:val="000000"/>
        <w:sz w:val="16"/>
        <w:szCs w:val="16"/>
      </w:rPr>
      <w:t xml:space="preserve"> SGM 3874-A</w:t>
    </w:r>
    <w:r w:rsidR="00341C4C" w:rsidRPr="00341C4C">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BB4172" w:rsidRPr="00EC47B6">
      <w:rPr>
        <w:rFonts w:cs="Arial"/>
        <w:snapToGrid w:val="0"/>
        <w:color w:val="000000"/>
        <w:sz w:val="16"/>
      </w:rPr>
      <w:t>202</w:t>
    </w:r>
    <w:r w:rsidR="00BB4172">
      <w:rPr>
        <w:rFonts w:cs="Arial"/>
        <w:snapToGrid w:val="0"/>
        <w:color w:val="000000"/>
        <w:sz w:val="16"/>
      </w:rPr>
      <w:t>5</w:t>
    </w:r>
    <w:r w:rsidR="00BB4172" w:rsidRPr="00EC47B6">
      <w:rPr>
        <w:rFonts w:cs="Arial"/>
        <w:snapToGrid w:val="0"/>
        <w:color w:val="000000"/>
        <w:sz w:val="16"/>
      </w:rPr>
      <w:t xml:space="preserve"> </w:t>
    </w:r>
    <w:r w:rsidRPr="00EC47B6">
      <w:rPr>
        <w:rFonts w:cs="Arial"/>
        <w:snapToGrid w:val="0"/>
        <w:color w:val="000000"/>
        <w:sz w:val="16"/>
      </w:rPr>
      <w:t>CVS Caremark. All rights reserved.</w:t>
    </w:r>
  </w:p>
  <w:p w14:paraId="61CF5924" w14:textId="40DD686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997DE6D" w:rsidR="00F75C81" w:rsidRPr="00AA1E6A" w:rsidRDefault="00C36B72" w:rsidP="001F1A0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376D6E9"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41C4C" w:rsidRPr="00341C4C">
      <w:rPr>
        <w:rFonts w:cs="Arial"/>
        <w:noProof/>
        <w:sz w:val="16"/>
        <w:szCs w:val="16"/>
      </w:rPr>
      <w:t>Retevmo</w:t>
    </w:r>
    <w:r w:rsidR="00341C4C">
      <w:rPr>
        <w:rFonts w:cs="Arial"/>
        <w:noProof/>
        <w:snapToGrid w:val="0"/>
        <w:color w:val="000000"/>
        <w:sz w:val="16"/>
        <w:szCs w:val="16"/>
      </w:rPr>
      <w:t xml:space="preserve"> SGM 3874-A</w:t>
    </w:r>
    <w:r w:rsidR="00341C4C" w:rsidRPr="00341C4C">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BB4172" w:rsidRPr="00EC47B6">
      <w:rPr>
        <w:rFonts w:cs="Arial"/>
        <w:snapToGrid w:val="0"/>
        <w:color w:val="000000"/>
        <w:sz w:val="16"/>
      </w:rPr>
      <w:t>202</w:t>
    </w:r>
    <w:r w:rsidR="00BB4172">
      <w:rPr>
        <w:rFonts w:cs="Arial"/>
        <w:snapToGrid w:val="0"/>
        <w:color w:val="000000"/>
        <w:sz w:val="16"/>
      </w:rPr>
      <w:t>5</w:t>
    </w:r>
    <w:r w:rsidR="00BB4172" w:rsidRPr="00EC47B6">
      <w:rPr>
        <w:rFonts w:cs="Arial"/>
        <w:snapToGrid w:val="0"/>
        <w:color w:val="000000"/>
        <w:sz w:val="16"/>
      </w:rPr>
      <w:t xml:space="preserve"> </w:t>
    </w:r>
    <w:r w:rsidRPr="00EC47B6">
      <w:rPr>
        <w:rFonts w:cs="Arial"/>
        <w:snapToGrid w:val="0"/>
        <w:color w:val="000000"/>
        <w:sz w:val="16"/>
      </w:rPr>
      <w:t>CVS Caremark. All rights reserved.</w:t>
    </w:r>
  </w:p>
  <w:p w14:paraId="39BFE579" w14:textId="5387BF99"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4AC0E87" w:rsidR="00ED04EC" w:rsidRPr="00F50D98" w:rsidRDefault="00F50D98" w:rsidP="001F1A0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D0E68" w14:textId="77777777" w:rsidR="00947401" w:rsidRDefault="00947401">
      <w:r>
        <w:separator/>
      </w:r>
    </w:p>
  </w:footnote>
  <w:footnote w:type="continuationSeparator" w:id="0">
    <w:p w14:paraId="3C0CF652" w14:textId="77777777" w:rsidR="00947401" w:rsidRDefault="00947401">
      <w:r>
        <w:continuationSeparator/>
      </w:r>
    </w:p>
  </w:footnote>
  <w:footnote w:type="continuationNotice" w:id="1">
    <w:p w14:paraId="70944B89" w14:textId="77777777" w:rsidR="00947401" w:rsidRDefault="009474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1780B">
      <w:trPr>
        <w:trHeight w:val="144"/>
        <w:jc w:val="right"/>
      </w:trPr>
      <w:tc>
        <w:tcPr>
          <w:tcW w:w="1854" w:type="dxa"/>
          <w:hideMark/>
        </w:tcPr>
        <w:p w14:paraId="18F550B7" w14:textId="77777777" w:rsidR="00ED04EC" w:rsidRPr="00C921E7" w:rsidRDefault="00ED04EC" w:rsidP="00ED04EC">
          <w:pPr>
            <w:pStyle w:val="Header"/>
            <w:rPr>
              <w:rFonts w:cs="Arial"/>
              <w:sz w:val="16"/>
              <w:szCs w:val="16"/>
            </w:rPr>
          </w:pPr>
          <w:r w:rsidRPr="00C921E7">
            <w:rPr>
              <w:rFonts w:cs="Arial"/>
              <w:sz w:val="16"/>
              <w:szCs w:val="16"/>
            </w:rPr>
            <w:t>Reference number(s)</w:t>
          </w:r>
        </w:p>
      </w:tc>
    </w:tr>
    <w:tr w:rsidR="00ED04EC" w:rsidRPr="00ED04EC" w14:paraId="703C6588" w14:textId="77777777" w:rsidTr="0001780B">
      <w:trPr>
        <w:trHeight w:val="378"/>
        <w:jc w:val="right"/>
      </w:trPr>
      <w:tc>
        <w:tcPr>
          <w:tcW w:w="1854" w:type="dxa"/>
          <w:hideMark/>
        </w:tcPr>
        <w:p w14:paraId="51CE3E64" w14:textId="32EFDFA8" w:rsidR="00ED04EC" w:rsidRPr="00C921E7" w:rsidRDefault="00C41EFA" w:rsidP="00ED04EC">
          <w:pPr>
            <w:pStyle w:val="Header"/>
            <w:rPr>
              <w:rFonts w:cs="Arial"/>
              <w:sz w:val="16"/>
              <w:szCs w:val="16"/>
            </w:rPr>
          </w:pPr>
          <w:r w:rsidRPr="00C921E7">
            <w:rPr>
              <w:rFonts w:cs="Arial"/>
              <w:sz w:val="16"/>
              <w:szCs w:val="16"/>
            </w:rPr>
            <w:t>3874-A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01780B">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01780B">
      <w:trPr>
        <w:trHeight w:val="378"/>
        <w:jc w:val="right"/>
      </w:trPr>
      <w:tc>
        <w:tcPr>
          <w:tcW w:w="1854" w:type="dxa"/>
          <w:hideMark/>
        </w:tcPr>
        <w:p w14:paraId="475EFE95" w14:textId="6D542643" w:rsidR="000F5383" w:rsidRPr="00FF66BF" w:rsidRDefault="00C41EFA" w:rsidP="009E1F57">
          <w:pPr>
            <w:pStyle w:val="RefTableHeader"/>
          </w:pPr>
          <w:r>
            <w:t>3874-A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79200B"/>
    <w:multiLevelType w:val="hybridMultilevel"/>
    <w:tmpl w:val="008A0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E42C0"/>
    <w:multiLevelType w:val="hybridMultilevel"/>
    <w:tmpl w:val="2842F2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31C3C33"/>
    <w:multiLevelType w:val="hybridMultilevel"/>
    <w:tmpl w:val="751AF426"/>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D75011"/>
    <w:multiLevelType w:val="hybridMultilevel"/>
    <w:tmpl w:val="AC220F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CE92AE8"/>
    <w:multiLevelType w:val="hybridMultilevel"/>
    <w:tmpl w:val="71B6BD56"/>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EEC4A91"/>
    <w:multiLevelType w:val="hybridMultilevel"/>
    <w:tmpl w:val="AE86ED5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26D3282"/>
    <w:multiLevelType w:val="hybridMultilevel"/>
    <w:tmpl w:val="44F4A11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2" w15:restartNumberingAfterBreak="0">
    <w:nsid w:val="329C4968"/>
    <w:multiLevelType w:val="hybridMultilevel"/>
    <w:tmpl w:val="2228A97C"/>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7E5751"/>
    <w:multiLevelType w:val="hybridMultilevel"/>
    <w:tmpl w:val="2236E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491B7C"/>
    <w:multiLevelType w:val="hybridMultilevel"/>
    <w:tmpl w:val="B4A8223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4F1381"/>
    <w:multiLevelType w:val="hybridMultilevel"/>
    <w:tmpl w:val="9ABCCCFE"/>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8A1EBD"/>
    <w:multiLevelType w:val="hybridMultilevel"/>
    <w:tmpl w:val="C92AF6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2E3841"/>
    <w:multiLevelType w:val="hybridMultilevel"/>
    <w:tmpl w:val="8D4AF8CE"/>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66431A"/>
    <w:multiLevelType w:val="hybridMultilevel"/>
    <w:tmpl w:val="BF2CAFE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C17025D"/>
    <w:multiLevelType w:val="hybridMultilevel"/>
    <w:tmpl w:val="15E0B28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D2D2844"/>
    <w:multiLevelType w:val="hybridMultilevel"/>
    <w:tmpl w:val="C00AE5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2E6284F"/>
    <w:multiLevelType w:val="hybridMultilevel"/>
    <w:tmpl w:val="1BDACE9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A54999"/>
    <w:multiLevelType w:val="hybridMultilevel"/>
    <w:tmpl w:val="66D44E5E"/>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5"/>
  </w:num>
  <w:num w:numId="3" w16cid:durableId="611589570">
    <w:abstractNumId w:val="2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4"/>
  </w:num>
  <w:num w:numId="17" w16cid:durableId="2128498676">
    <w:abstractNumId w:val="42"/>
  </w:num>
  <w:num w:numId="18" w16cid:durableId="299724409">
    <w:abstractNumId w:val="31"/>
  </w:num>
  <w:num w:numId="19" w16cid:durableId="214585573">
    <w:abstractNumId w:val="17"/>
  </w:num>
  <w:num w:numId="20" w16cid:durableId="1289816170">
    <w:abstractNumId w:val="18"/>
  </w:num>
  <w:num w:numId="21" w16cid:durableId="1066490929">
    <w:abstractNumId w:val="44"/>
  </w:num>
  <w:num w:numId="22" w16cid:durableId="1472481103">
    <w:abstractNumId w:val="34"/>
  </w:num>
  <w:num w:numId="23" w16cid:durableId="1997420403">
    <w:abstractNumId w:val="37"/>
  </w:num>
  <w:num w:numId="24" w16cid:durableId="33312838">
    <w:abstractNumId w:val="32"/>
  </w:num>
  <w:num w:numId="25" w16cid:durableId="507404939">
    <w:abstractNumId w:val="23"/>
  </w:num>
  <w:num w:numId="26" w16cid:durableId="1950313333">
    <w:abstractNumId w:val="28"/>
  </w:num>
  <w:num w:numId="27" w16cid:durableId="1866016584">
    <w:abstractNumId w:val="26"/>
  </w:num>
  <w:num w:numId="28" w16cid:durableId="918905235">
    <w:abstractNumId w:val="10"/>
  </w:num>
  <w:num w:numId="29" w16cid:durableId="827209960">
    <w:abstractNumId w:val="40"/>
  </w:num>
  <w:num w:numId="30" w16cid:durableId="1998997057">
    <w:abstractNumId w:val="33"/>
  </w:num>
  <w:num w:numId="31" w16cid:durableId="918906479">
    <w:abstractNumId w:val="41"/>
  </w:num>
  <w:num w:numId="32" w16cid:durableId="1587033151">
    <w:abstractNumId w:val="13"/>
  </w:num>
  <w:num w:numId="33" w16cid:durableId="1497726388">
    <w:abstractNumId w:val="25"/>
  </w:num>
  <w:num w:numId="34" w16cid:durableId="113795328">
    <w:abstractNumId w:val="16"/>
  </w:num>
  <w:num w:numId="35" w16cid:durableId="1795637787">
    <w:abstractNumId w:val="30"/>
  </w:num>
  <w:num w:numId="36" w16cid:durableId="1831168991">
    <w:abstractNumId w:val="22"/>
  </w:num>
  <w:num w:numId="37" w16cid:durableId="523985382">
    <w:abstractNumId w:val="43"/>
  </w:num>
  <w:num w:numId="38" w16cid:durableId="718289099">
    <w:abstractNumId w:val="15"/>
  </w:num>
  <w:num w:numId="39" w16cid:durableId="1695811270">
    <w:abstractNumId w:val="39"/>
  </w:num>
  <w:num w:numId="40" w16cid:durableId="194849119">
    <w:abstractNumId w:val="27"/>
  </w:num>
  <w:num w:numId="41" w16cid:durableId="926311044">
    <w:abstractNumId w:val="19"/>
  </w:num>
  <w:num w:numId="42" w16cid:durableId="345444114">
    <w:abstractNumId w:val="36"/>
  </w:num>
  <w:num w:numId="43" w16cid:durableId="1835677965">
    <w:abstractNumId w:val="38"/>
  </w:num>
  <w:num w:numId="44" w16cid:durableId="1027677667">
    <w:abstractNumId w:val="21"/>
  </w:num>
  <w:num w:numId="45" w16cid:durableId="898520017">
    <w:abstractNumId w:val="20"/>
  </w:num>
  <w:num w:numId="46" w16cid:durableId="732629535">
    <w:abstractNumId w:val="44"/>
  </w:num>
  <w:num w:numId="47" w16cid:durableId="1995328466">
    <w:abstractNumId w:val="44"/>
  </w:num>
  <w:num w:numId="48" w16cid:durableId="1173449636">
    <w:abstractNumId w:val="44"/>
  </w:num>
  <w:num w:numId="49" w16cid:durableId="2125079488">
    <w:abstractNumId w:val="44"/>
  </w:num>
  <w:num w:numId="50" w16cid:durableId="1937209474">
    <w:abstractNumId w:val="4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0B"/>
    <w:rsid w:val="00017860"/>
    <w:rsid w:val="00017A21"/>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694B"/>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0634"/>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3BD7"/>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485"/>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418"/>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8FC"/>
    <w:rsid w:val="001C1C00"/>
    <w:rsid w:val="001C1C5D"/>
    <w:rsid w:val="001C2409"/>
    <w:rsid w:val="001C266E"/>
    <w:rsid w:val="001C4413"/>
    <w:rsid w:val="001C498D"/>
    <w:rsid w:val="001C4AFD"/>
    <w:rsid w:val="001C4F2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1A03"/>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582C"/>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2C1"/>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58D9"/>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C96"/>
    <w:rsid w:val="002B0F7E"/>
    <w:rsid w:val="002B101E"/>
    <w:rsid w:val="002B1581"/>
    <w:rsid w:val="002B166B"/>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E7E59"/>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663"/>
    <w:rsid w:val="00325716"/>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C4C"/>
    <w:rsid w:val="00341F47"/>
    <w:rsid w:val="00342365"/>
    <w:rsid w:val="00343BE2"/>
    <w:rsid w:val="00343E90"/>
    <w:rsid w:val="00345D48"/>
    <w:rsid w:val="003468AA"/>
    <w:rsid w:val="00346D5D"/>
    <w:rsid w:val="00347C02"/>
    <w:rsid w:val="00350DF1"/>
    <w:rsid w:val="003524E5"/>
    <w:rsid w:val="00352855"/>
    <w:rsid w:val="00352959"/>
    <w:rsid w:val="00352B5E"/>
    <w:rsid w:val="00352BC7"/>
    <w:rsid w:val="003542C2"/>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1A6"/>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BA"/>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0D34"/>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A28"/>
    <w:rsid w:val="00486D0D"/>
    <w:rsid w:val="00486F89"/>
    <w:rsid w:val="00486F9E"/>
    <w:rsid w:val="004872D7"/>
    <w:rsid w:val="00487473"/>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9AA"/>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0570"/>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916"/>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23CB"/>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6C51"/>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330D"/>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565"/>
    <w:rsid w:val="006A1D42"/>
    <w:rsid w:val="006A29D6"/>
    <w:rsid w:val="006A2EC3"/>
    <w:rsid w:val="006A37C9"/>
    <w:rsid w:val="006A3CFD"/>
    <w:rsid w:val="006A3F40"/>
    <w:rsid w:val="006A790B"/>
    <w:rsid w:val="006A7B7D"/>
    <w:rsid w:val="006B01F7"/>
    <w:rsid w:val="006B33B8"/>
    <w:rsid w:val="006B34B3"/>
    <w:rsid w:val="006B371D"/>
    <w:rsid w:val="006B3B6B"/>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D7904"/>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46E"/>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22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2C"/>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425"/>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3036"/>
    <w:rsid w:val="007E427E"/>
    <w:rsid w:val="007E450C"/>
    <w:rsid w:val="007E4AD4"/>
    <w:rsid w:val="007E5C16"/>
    <w:rsid w:val="007E5C40"/>
    <w:rsid w:val="007E7B46"/>
    <w:rsid w:val="007F02C3"/>
    <w:rsid w:val="007F11E6"/>
    <w:rsid w:val="007F20FF"/>
    <w:rsid w:val="007F2388"/>
    <w:rsid w:val="007F2641"/>
    <w:rsid w:val="007F280C"/>
    <w:rsid w:val="007F2D7B"/>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A30"/>
    <w:rsid w:val="00861CA3"/>
    <w:rsid w:val="00861DD6"/>
    <w:rsid w:val="00861F40"/>
    <w:rsid w:val="008631C1"/>
    <w:rsid w:val="00863211"/>
    <w:rsid w:val="00863541"/>
    <w:rsid w:val="0086360F"/>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232"/>
    <w:rsid w:val="00922DD4"/>
    <w:rsid w:val="00923BE9"/>
    <w:rsid w:val="00923E67"/>
    <w:rsid w:val="00923E96"/>
    <w:rsid w:val="0092406F"/>
    <w:rsid w:val="00924AA3"/>
    <w:rsid w:val="00924B04"/>
    <w:rsid w:val="009255FA"/>
    <w:rsid w:val="00925647"/>
    <w:rsid w:val="0092652E"/>
    <w:rsid w:val="00926589"/>
    <w:rsid w:val="0092691D"/>
    <w:rsid w:val="00927612"/>
    <w:rsid w:val="00927737"/>
    <w:rsid w:val="00930F9F"/>
    <w:rsid w:val="00930FF5"/>
    <w:rsid w:val="00931D1D"/>
    <w:rsid w:val="00931D32"/>
    <w:rsid w:val="00931F5E"/>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401"/>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854"/>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776"/>
    <w:rsid w:val="00A30ABB"/>
    <w:rsid w:val="00A31777"/>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0FEA"/>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0EAE"/>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1D41"/>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0FDA"/>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4172"/>
    <w:rsid w:val="00BB5B7E"/>
    <w:rsid w:val="00BB6239"/>
    <w:rsid w:val="00BB6FE9"/>
    <w:rsid w:val="00BC024A"/>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1E18"/>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958"/>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1EFA"/>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8A7"/>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21E7"/>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2FB2"/>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136"/>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037"/>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0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485C"/>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051"/>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395"/>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9F7"/>
    <w:rsid w:val="00E36D92"/>
    <w:rsid w:val="00E36FE9"/>
    <w:rsid w:val="00E37577"/>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4FEF"/>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3C80"/>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2ACB"/>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45"/>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9A7"/>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7B5"/>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0C6"/>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116"/>
    <w:rsid w:val="00FD75BC"/>
    <w:rsid w:val="00FD7AB8"/>
    <w:rsid w:val="00FE057F"/>
    <w:rsid w:val="00FE06ED"/>
    <w:rsid w:val="00FE0C63"/>
    <w:rsid w:val="00FE2763"/>
    <w:rsid w:val="00FE2E74"/>
    <w:rsid w:val="00FE3153"/>
    <w:rsid w:val="00FE3327"/>
    <w:rsid w:val="00FE357C"/>
    <w:rsid w:val="00FE3A69"/>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5D0CE25A-69CB-402A-9171-D447517F2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386799780">
      <w:bodyDiv w:val="1"/>
      <w:marLeft w:val="0"/>
      <w:marRight w:val="0"/>
      <w:marTop w:val="0"/>
      <w:marBottom w:val="0"/>
      <w:divBdr>
        <w:top w:val="none" w:sz="0" w:space="0" w:color="auto"/>
        <w:left w:val="none" w:sz="0" w:space="0" w:color="auto"/>
        <w:bottom w:val="none" w:sz="0" w:space="0" w:color="auto"/>
        <w:right w:val="none" w:sz="0" w:space="0" w:color="auto"/>
      </w:divBdr>
      <w:divsChild>
        <w:div w:id="582957401">
          <w:marLeft w:val="0"/>
          <w:marRight w:val="0"/>
          <w:marTop w:val="0"/>
          <w:marBottom w:val="0"/>
          <w:divBdr>
            <w:top w:val="none" w:sz="0" w:space="0" w:color="auto"/>
            <w:left w:val="none" w:sz="0" w:space="0" w:color="auto"/>
            <w:bottom w:val="none" w:sz="0" w:space="0" w:color="auto"/>
            <w:right w:val="none" w:sz="0" w:space="0" w:color="auto"/>
          </w:divBdr>
          <w:divsChild>
            <w:div w:id="40568002">
              <w:marLeft w:val="0"/>
              <w:marRight w:val="0"/>
              <w:marTop w:val="0"/>
              <w:marBottom w:val="0"/>
              <w:divBdr>
                <w:top w:val="none" w:sz="0" w:space="0" w:color="auto"/>
                <w:left w:val="none" w:sz="0" w:space="0" w:color="auto"/>
                <w:bottom w:val="none" w:sz="0" w:space="0" w:color="auto"/>
                <w:right w:val="none" w:sz="0" w:space="0" w:color="auto"/>
              </w:divBdr>
            </w:div>
            <w:div w:id="40791661">
              <w:marLeft w:val="0"/>
              <w:marRight w:val="0"/>
              <w:marTop w:val="0"/>
              <w:marBottom w:val="0"/>
              <w:divBdr>
                <w:top w:val="none" w:sz="0" w:space="0" w:color="auto"/>
                <w:left w:val="none" w:sz="0" w:space="0" w:color="auto"/>
                <w:bottom w:val="none" w:sz="0" w:space="0" w:color="auto"/>
                <w:right w:val="none" w:sz="0" w:space="0" w:color="auto"/>
              </w:divBdr>
            </w:div>
            <w:div w:id="119885218">
              <w:marLeft w:val="0"/>
              <w:marRight w:val="0"/>
              <w:marTop w:val="0"/>
              <w:marBottom w:val="0"/>
              <w:divBdr>
                <w:top w:val="none" w:sz="0" w:space="0" w:color="auto"/>
                <w:left w:val="none" w:sz="0" w:space="0" w:color="auto"/>
                <w:bottom w:val="none" w:sz="0" w:space="0" w:color="auto"/>
                <w:right w:val="none" w:sz="0" w:space="0" w:color="auto"/>
              </w:divBdr>
            </w:div>
            <w:div w:id="175921342">
              <w:marLeft w:val="0"/>
              <w:marRight w:val="0"/>
              <w:marTop w:val="0"/>
              <w:marBottom w:val="0"/>
              <w:divBdr>
                <w:top w:val="none" w:sz="0" w:space="0" w:color="auto"/>
                <w:left w:val="none" w:sz="0" w:space="0" w:color="auto"/>
                <w:bottom w:val="none" w:sz="0" w:space="0" w:color="auto"/>
                <w:right w:val="none" w:sz="0" w:space="0" w:color="auto"/>
              </w:divBdr>
            </w:div>
            <w:div w:id="347877499">
              <w:marLeft w:val="0"/>
              <w:marRight w:val="0"/>
              <w:marTop w:val="0"/>
              <w:marBottom w:val="0"/>
              <w:divBdr>
                <w:top w:val="none" w:sz="0" w:space="0" w:color="auto"/>
                <w:left w:val="none" w:sz="0" w:space="0" w:color="auto"/>
                <w:bottom w:val="none" w:sz="0" w:space="0" w:color="auto"/>
                <w:right w:val="none" w:sz="0" w:space="0" w:color="auto"/>
              </w:divBdr>
            </w:div>
            <w:div w:id="408427021">
              <w:marLeft w:val="0"/>
              <w:marRight w:val="0"/>
              <w:marTop w:val="0"/>
              <w:marBottom w:val="0"/>
              <w:divBdr>
                <w:top w:val="none" w:sz="0" w:space="0" w:color="auto"/>
                <w:left w:val="none" w:sz="0" w:space="0" w:color="auto"/>
                <w:bottom w:val="none" w:sz="0" w:space="0" w:color="auto"/>
                <w:right w:val="none" w:sz="0" w:space="0" w:color="auto"/>
              </w:divBdr>
            </w:div>
            <w:div w:id="485367084">
              <w:marLeft w:val="0"/>
              <w:marRight w:val="0"/>
              <w:marTop w:val="0"/>
              <w:marBottom w:val="0"/>
              <w:divBdr>
                <w:top w:val="none" w:sz="0" w:space="0" w:color="auto"/>
                <w:left w:val="none" w:sz="0" w:space="0" w:color="auto"/>
                <w:bottom w:val="none" w:sz="0" w:space="0" w:color="auto"/>
                <w:right w:val="none" w:sz="0" w:space="0" w:color="auto"/>
              </w:divBdr>
            </w:div>
            <w:div w:id="746151243">
              <w:marLeft w:val="0"/>
              <w:marRight w:val="0"/>
              <w:marTop w:val="0"/>
              <w:marBottom w:val="0"/>
              <w:divBdr>
                <w:top w:val="none" w:sz="0" w:space="0" w:color="auto"/>
                <w:left w:val="none" w:sz="0" w:space="0" w:color="auto"/>
                <w:bottom w:val="none" w:sz="0" w:space="0" w:color="auto"/>
                <w:right w:val="none" w:sz="0" w:space="0" w:color="auto"/>
              </w:divBdr>
            </w:div>
            <w:div w:id="786512216">
              <w:marLeft w:val="0"/>
              <w:marRight w:val="0"/>
              <w:marTop w:val="0"/>
              <w:marBottom w:val="0"/>
              <w:divBdr>
                <w:top w:val="none" w:sz="0" w:space="0" w:color="auto"/>
                <w:left w:val="none" w:sz="0" w:space="0" w:color="auto"/>
                <w:bottom w:val="none" w:sz="0" w:space="0" w:color="auto"/>
                <w:right w:val="none" w:sz="0" w:space="0" w:color="auto"/>
              </w:divBdr>
            </w:div>
            <w:div w:id="1079710422">
              <w:marLeft w:val="0"/>
              <w:marRight w:val="0"/>
              <w:marTop w:val="0"/>
              <w:marBottom w:val="0"/>
              <w:divBdr>
                <w:top w:val="none" w:sz="0" w:space="0" w:color="auto"/>
                <w:left w:val="none" w:sz="0" w:space="0" w:color="auto"/>
                <w:bottom w:val="none" w:sz="0" w:space="0" w:color="auto"/>
                <w:right w:val="none" w:sz="0" w:space="0" w:color="auto"/>
              </w:divBdr>
            </w:div>
            <w:div w:id="1130561568">
              <w:marLeft w:val="0"/>
              <w:marRight w:val="0"/>
              <w:marTop w:val="0"/>
              <w:marBottom w:val="0"/>
              <w:divBdr>
                <w:top w:val="none" w:sz="0" w:space="0" w:color="auto"/>
                <w:left w:val="none" w:sz="0" w:space="0" w:color="auto"/>
                <w:bottom w:val="none" w:sz="0" w:space="0" w:color="auto"/>
                <w:right w:val="none" w:sz="0" w:space="0" w:color="auto"/>
              </w:divBdr>
            </w:div>
            <w:div w:id="1200700952">
              <w:marLeft w:val="0"/>
              <w:marRight w:val="0"/>
              <w:marTop w:val="0"/>
              <w:marBottom w:val="0"/>
              <w:divBdr>
                <w:top w:val="none" w:sz="0" w:space="0" w:color="auto"/>
                <w:left w:val="none" w:sz="0" w:space="0" w:color="auto"/>
                <w:bottom w:val="none" w:sz="0" w:space="0" w:color="auto"/>
                <w:right w:val="none" w:sz="0" w:space="0" w:color="auto"/>
              </w:divBdr>
            </w:div>
            <w:div w:id="1437367244">
              <w:marLeft w:val="0"/>
              <w:marRight w:val="0"/>
              <w:marTop w:val="0"/>
              <w:marBottom w:val="0"/>
              <w:divBdr>
                <w:top w:val="none" w:sz="0" w:space="0" w:color="auto"/>
                <w:left w:val="none" w:sz="0" w:space="0" w:color="auto"/>
                <w:bottom w:val="none" w:sz="0" w:space="0" w:color="auto"/>
                <w:right w:val="none" w:sz="0" w:space="0" w:color="auto"/>
              </w:divBdr>
            </w:div>
            <w:div w:id="1638293132">
              <w:marLeft w:val="0"/>
              <w:marRight w:val="0"/>
              <w:marTop w:val="0"/>
              <w:marBottom w:val="0"/>
              <w:divBdr>
                <w:top w:val="none" w:sz="0" w:space="0" w:color="auto"/>
                <w:left w:val="none" w:sz="0" w:space="0" w:color="auto"/>
                <w:bottom w:val="none" w:sz="0" w:space="0" w:color="auto"/>
                <w:right w:val="none" w:sz="0" w:space="0" w:color="auto"/>
              </w:divBdr>
            </w:div>
            <w:div w:id="1793481028">
              <w:marLeft w:val="0"/>
              <w:marRight w:val="0"/>
              <w:marTop w:val="0"/>
              <w:marBottom w:val="0"/>
              <w:divBdr>
                <w:top w:val="none" w:sz="0" w:space="0" w:color="auto"/>
                <w:left w:val="none" w:sz="0" w:space="0" w:color="auto"/>
                <w:bottom w:val="none" w:sz="0" w:space="0" w:color="auto"/>
                <w:right w:val="none" w:sz="0" w:space="0" w:color="auto"/>
              </w:divBdr>
            </w:div>
            <w:div w:id="1890334002">
              <w:marLeft w:val="0"/>
              <w:marRight w:val="0"/>
              <w:marTop w:val="0"/>
              <w:marBottom w:val="0"/>
              <w:divBdr>
                <w:top w:val="none" w:sz="0" w:space="0" w:color="auto"/>
                <w:left w:val="none" w:sz="0" w:space="0" w:color="auto"/>
                <w:bottom w:val="none" w:sz="0" w:space="0" w:color="auto"/>
                <w:right w:val="none" w:sz="0" w:space="0" w:color="auto"/>
              </w:divBdr>
            </w:div>
            <w:div w:id="2039889895">
              <w:marLeft w:val="0"/>
              <w:marRight w:val="0"/>
              <w:marTop w:val="0"/>
              <w:marBottom w:val="0"/>
              <w:divBdr>
                <w:top w:val="none" w:sz="0" w:space="0" w:color="auto"/>
                <w:left w:val="none" w:sz="0" w:space="0" w:color="auto"/>
                <w:bottom w:val="none" w:sz="0" w:space="0" w:color="auto"/>
                <w:right w:val="none" w:sz="0" w:space="0" w:color="auto"/>
              </w:divBdr>
            </w:div>
            <w:div w:id="2089839829">
              <w:marLeft w:val="0"/>
              <w:marRight w:val="0"/>
              <w:marTop w:val="0"/>
              <w:marBottom w:val="0"/>
              <w:divBdr>
                <w:top w:val="none" w:sz="0" w:space="0" w:color="auto"/>
                <w:left w:val="none" w:sz="0" w:space="0" w:color="auto"/>
                <w:bottom w:val="none" w:sz="0" w:space="0" w:color="auto"/>
                <w:right w:val="none" w:sz="0" w:space="0" w:color="auto"/>
              </w:divBdr>
            </w:div>
          </w:divsChild>
        </w:div>
        <w:div w:id="708451815">
          <w:marLeft w:val="0"/>
          <w:marRight w:val="0"/>
          <w:marTop w:val="0"/>
          <w:marBottom w:val="0"/>
          <w:divBdr>
            <w:top w:val="none" w:sz="0" w:space="0" w:color="auto"/>
            <w:left w:val="none" w:sz="0" w:space="0" w:color="auto"/>
            <w:bottom w:val="none" w:sz="0" w:space="0" w:color="auto"/>
            <w:right w:val="none" w:sz="0" w:space="0" w:color="auto"/>
          </w:divBdr>
          <w:divsChild>
            <w:div w:id="364984679">
              <w:marLeft w:val="0"/>
              <w:marRight w:val="0"/>
              <w:marTop w:val="0"/>
              <w:marBottom w:val="0"/>
              <w:divBdr>
                <w:top w:val="none" w:sz="0" w:space="0" w:color="auto"/>
                <w:left w:val="none" w:sz="0" w:space="0" w:color="auto"/>
                <w:bottom w:val="none" w:sz="0" w:space="0" w:color="auto"/>
                <w:right w:val="none" w:sz="0" w:space="0" w:color="auto"/>
              </w:divBdr>
            </w:div>
            <w:div w:id="386883740">
              <w:marLeft w:val="0"/>
              <w:marRight w:val="0"/>
              <w:marTop w:val="0"/>
              <w:marBottom w:val="0"/>
              <w:divBdr>
                <w:top w:val="none" w:sz="0" w:space="0" w:color="auto"/>
                <w:left w:val="none" w:sz="0" w:space="0" w:color="auto"/>
                <w:bottom w:val="none" w:sz="0" w:space="0" w:color="auto"/>
                <w:right w:val="none" w:sz="0" w:space="0" w:color="auto"/>
              </w:divBdr>
            </w:div>
            <w:div w:id="417823863">
              <w:marLeft w:val="0"/>
              <w:marRight w:val="0"/>
              <w:marTop w:val="0"/>
              <w:marBottom w:val="0"/>
              <w:divBdr>
                <w:top w:val="none" w:sz="0" w:space="0" w:color="auto"/>
                <w:left w:val="none" w:sz="0" w:space="0" w:color="auto"/>
                <w:bottom w:val="none" w:sz="0" w:space="0" w:color="auto"/>
                <w:right w:val="none" w:sz="0" w:space="0" w:color="auto"/>
              </w:divBdr>
            </w:div>
            <w:div w:id="425883349">
              <w:marLeft w:val="0"/>
              <w:marRight w:val="0"/>
              <w:marTop w:val="0"/>
              <w:marBottom w:val="0"/>
              <w:divBdr>
                <w:top w:val="none" w:sz="0" w:space="0" w:color="auto"/>
                <w:left w:val="none" w:sz="0" w:space="0" w:color="auto"/>
                <w:bottom w:val="none" w:sz="0" w:space="0" w:color="auto"/>
                <w:right w:val="none" w:sz="0" w:space="0" w:color="auto"/>
              </w:divBdr>
            </w:div>
            <w:div w:id="597449400">
              <w:marLeft w:val="0"/>
              <w:marRight w:val="0"/>
              <w:marTop w:val="0"/>
              <w:marBottom w:val="0"/>
              <w:divBdr>
                <w:top w:val="none" w:sz="0" w:space="0" w:color="auto"/>
                <w:left w:val="none" w:sz="0" w:space="0" w:color="auto"/>
                <w:bottom w:val="none" w:sz="0" w:space="0" w:color="auto"/>
                <w:right w:val="none" w:sz="0" w:space="0" w:color="auto"/>
              </w:divBdr>
            </w:div>
            <w:div w:id="682362786">
              <w:marLeft w:val="0"/>
              <w:marRight w:val="0"/>
              <w:marTop w:val="0"/>
              <w:marBottom w:val="0"/>
              <w:divBdr>
                <w:top w:val="none" w:sz="0" w:space="0" w:color="auto"/>
                <w:left w:val="none" w:sz="0" w:space="0" w:color="auto"/>
                <w:bottom w:val="none" w:sz="0" w:space="0" w:color="auto"/>
                <w:right w:val="none" w:sz="0" w:space="0" w:color="auto"/>
              </w:divBdr>
            </w:div>
            <w:div w:id="754211018">
              <w:marLeft w:val="0"/>
              <w:marRight w:val="0"/>
              <w:marTop w:val="0"/>
              <w:marBottom w:val="0"/>
              <w:divBdr>
                <w:top w:val="none" w:sz="0" w:space="0" w:color="auto"/>
                <w:left w:val="none" w:sz="0" w:space="0" w:color="auto"/>
                <w:bottom w:val="none" w:sz="0" w:space="0" w:color="auto"/>
                <w:right w:val="none" w:sz="0" w:space="0" w:color="auto"/>
              </w:divBdr>
            </w:div>
            <w:div w:id="770779935">
              <w:marLeft w:val="0"/>
              <w:marRight w:val="0"/>
              <w:marTop w:val="0"/>
              <w:marBottom w:val="0"/>
              <w:divBdr>
                <w:top w:val="none" w:sz="0" w:space="0" w:color="auto"/>
                <w:left w:val="none" w:sz="0" w:space="0" w:color="auto"/>
                <w:bottom w:val="none" w:sz="0" w:space="0" w:color="auto"/>
                <w:right w:val="none" w:sz="0" w:space="0" w:color="auto"/>
              </w:divBdr>
            </w:div>
            <w:div w:id="958218961">
              <w:marLeft w:val="0"/>
              <w:marRight w:val="0"/>
              <w:marTop w:val="0"/>
              <w:marBottom w:val="0"/>
              <w:divBdr>
                <w:top w:val="none" w:sz="0" w:space="0" w:color="auto"/>
                <w:left w:val="none" w:sz="0" w:space="0" w:color="auto"/>
                <w:bottom w:val="none" w:sz="0" w:space="0" w:color="auto"/>
                <w:right w:val="none" w:sz="0" w:space="0" w:color="auto"/>
              </w:divBdr>
            </w:div>
            <w:div w:id="1105883139">
              <w:marLeft w:val="0"/>
              <w:marRight w:val="0"/>
              <w:marTop w:val="0"/>
              <w:marBottom w:val="0"/>
              <w:divBdr>
                <w:top w:val="none" w:sz="0" w:space="0" w:color="auto"/>
                <w:left w:val="none" w:sz="0" w:space="0" w:color="auto"/>
                <w:bottom w:val="none" w:sz="0" w:space="0" w:color="auto"/>
                <w:right w:val="none" w:sz="0" w:space="0" w:color="auto"/>
              </w:divBdr>
            </w:div>
            <w:div w:id="1123688701">
              <w:marLeft w:val="0"/>
              <w:marRight w:val="0"/>
              <w:marTop w:val="0"/>
              <w:marBottom w:val="0"/>
              <w:divBdr>
                <w:top w:val="none" w:sz="0" w:space="0" w:color="auto"/>
                <w:left w:val="none" w:sz="0" w:space="0" w:color="auto"/>
                <w:bottom w:val="none" w:sz="0" w:space="0" w:color="auto"/>
                <w:right w:val="none" w:sz="0" w:space="0" w:color="auto"/>
              </w:divBdr>
            </w:div>
            <w:div w:id="1199466668">
              <w:marLeft w:val="0"/>
              <w:marRight w:val="0"/>
              <w:marTop w:val="0"/>
              <w:marBottom w:val="0"/>
              <w:divBdr>
                <w:top w:val="none" w:sz="0" w:space="0" w:color="auto"/>
                <w:left w:val="none" w:sz="0" w:space="0" w:color="auto"/>
                <w:bottom w:val="none" w:sz="0" w:space="0" w:color="auto"/>
                <w:right w:val="none" w:sz="0" w:space="0" w:color="auto"/>
              </w:divBdr>
            </w:div>
            <w:div w:id="1257860935">
              <w:marLeft w:val="0"/>
              <w:marRight w:val="0"/>
              <w:marTop w:val="0"/>
              <w:marBottom w:val="0"/>
              <w:divBdr>
                <w:top w:val="none" w:sz="0" w:space="0" w:color="auto"/>
                <w:left w:val="none" w:sz="0" w:space="0" w:color="auto"/>
                <w:bottom w:val="none" w:sz="0" w:space="0" w:color="auto"/>
                <w:right w:val="none" w:sz="0" w:space="0" w:color="auto"/>
              </w:divBdr>
            </w:div>
            <w:div w:id="1464082616">
              <w:marLeft w:val="0"/>
              <w:marRight w:val="0"/>
              <w:marTop w:val="0"/>
              <w:marBottom w:val="0"/>
              <w:divBdr>
                <w:top w:val="none" w:sz="0" w:space="0" w:color="auto"/>
                <w:left w:val="none" w:sz="0" w:space="0" w:color="auto"/>
                <w:bottom w:val="none" w:sz="0" w:space="0" w:color="auto"/>
                <w:right w:val="none" w:sz="0" w:space="0" w:color="auto"/>
              </w:divBdr>
            </w:div>
            <w:div w:id="1464693306">
              <w:marLeft w:val="0"/>
              <w:marRight w:val="0"/>
              <w:marTop w:val="0"/>
              <w:marBottom w:val="0"/>
              <w:divBdr>
                <w:top w:val="none" w:sz="0" w:space="0" w:color="auto"/>
                <w:left w:val="none" w:sz="0" w:space="0" w:color="auto"/>
                <w:bottom w:val="none" w:sz="0" w:space="0" w:color="auto"/>
                <w:right w:val="none" w:sz="0" w:space="0" w:color="auto"/>
              </w:divBdr>
            </w:div>
            <w:div w:id="1491796104">
              <w:marLeft w:val="0"/>
              <w:marRight w:val="0"/>
              <w:marTop w:val="0"/>
              <w:marBottom w:val="0"/>
              <w:divBdr>
                <w:top w:val="none" w:sz="0" w:space="0" w:color="auto"/>
                <w:left w:val="none" w:sz="0" w:space="0" w:color="auto"/>
                <w:bottom w:val="none" w:sz="0" w:space="0" w:color="auto"/>
                <w:right w:val="none" w:sz="0" w:space="0" w:color="auto"/>
              </w:divBdr>
            </w:div>
            <w:div w:id="1805852296">
              <w:marLeft w:val="0"/>
              <w:marRight w:val="0"/>
              <w:marTop w:val="0"/>
              <w:marBottom w:val="0"/>
              <w:divBdr>
                <w:top w:val="none" w:sz="0" w:space="0" w:color="auto"/>
                <w:left w:val="none" w:sz="0" w:space="0" w:color="auto"/>
                <w:bottom w:val="none" w:sz="0" w:space="0" w:color="auto"/>
                <w:right w:val="none" w:sz="0" w:space="0" w:color="auto"/>
              </w:divBdr>
            </w:div>
            <w:div w:id="1817255687">
              <w:marLeft w:val="0"/>
              <w:marRight w:val="0"/>
              <w:marTop w:val="0"/>
              <w:marBottom w:val="0"/>
              <w:divBdr>
                <w:top w:val="none" w:sz="0" w:space="0" w:color="auto"/>
                <w:left w:val="none" w:sz="0" w:space="0" w:color="auto"/>
                <w:bottom w:val="none" w:sz="0" w:space="0" w:color="auto"/>
                <w:right w:val="none" w:sz="0" w:space="0" w:color="auto"/>
              </w:divBdr>
            </w:div>
            <w:div w:id="2130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70801858">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60048445">
      <w:bodyDiv w:val="1"/>
      <w:marLeft w:val="0"/>
      <w:marRight w:val="0"/>
      <w:marTop w:val="0"/>
      <w:marBottom w:val="0"/>
      <w:divBdr>
        <w:top w:val="none" w:sz="0" w:space="0" w:color="auto"/>
        <w:left w:val="none" w:sz="0" w:space="0" w:color="auto"/>
        <w:bottom w:val="none" w:sz="0" w:space="0" w:color="auto"/>
        <w:right w:val="none" w:sz="0" w:space="0" w:color="auto"/>
      </w:divBdr>
      <w:divsChild>
        <w:div w:id="79762552">
          <w:marLeft w:val="0"/>
          <w:marRight w:val="0"/>
          <w:marTop w:val="0"/>
          <w:marBottom w:val="0"/>
          <w:divBdr>
            <w:top w:val="none" w:sz="0" w:space="0" w:color="auto"/>
            <w:left w:val="none" w:sz="0" w:space="0" w:color="auto"/>
            <w:bottom w:val="none" w:sz="0" w:space="0" w:color="auto"/>
            <w:right w:val="none" w:sz="0" w:space="0" w:color="auto"/>
          </w:divBdr>
        </w:div>
        <w:div w:id="548883487">
          <w:marLeft w:val="0"/>
          <w:marRight w:val="0"/>
          <w:marTop w:val="0"/>
          <w:marBottom w:val="0"/>
          <w:divBdr>
            <w:top w:val="none" w:sz="0" w:space="0" w:color="auto"/>
            <w:left w:val="none" w:sz="0" w:space="0" w:color="auto"/>
            <w:bottom w:val="none" w:sz="0" w:space="0" w:color="auto"/>
            <w:right w:val="none" w:sz="0" w:space="0" w:color="auto"/>
          </w:divBdr>
        </w:div>
        <w:div w:id="1332948778">
          <w:marLeft w:val="0"/>
          <w:marRight w:val="0"/>
          <w:marTop w:val="0"/>
          <w:marBottom w:val="0"/>
          <w:divBdr>
            <w:top w:val="none" w:sz="0" w:space="0" w:color="auto"/>
            <w:left w:val="none" w:sz="0" w:space="0" w:color="auto"/>
            <w:bottom w:val="none" w:sz="0" w:space="0" w:color="auto"/>
            <w:right w:val="none" w:sz="0" w:space="0" w:color="auto"/>
          </w:divBdr>
        </w:div>
        <w:div w:id="1558123572">
          <w:marLeft w:val="0"/>
          <w:marRight w:val="0"/>
          <w:marTop w:val="0"/>
          <w:marBottom w:val="0"/>
          <w:divBdr>
            <w:top w:val="none" w:sz="0" w:space="0" w:color="auto"/>
            <w:left w:val="none" w:sz="0" w:space="0" w:color="auto"/>
            <w:bottom w:val="none" w:sz="0" w:space="0" w:color="auto"/>
            <w:right w:val="none" w:sz="0" w:space="0" w:color="auto"/>
          </w:divBdr>
        </w:div>
      </w:divsChild>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217955">
      <w:bodyDiv w:val="1"/>
      <w:marLeft w:val="0"/>
      <w:marRight w:val="0"/>
      <w:marTop w:val="0"/>
      <w:marBottom w:val="0"/>
      <w:divBdr>
        <w:top w:val="none" w:sz="0" w:space="0" w:color="auto"/>
        <w:left w:val="none" w:sz="0" w:space="0" w:color="auto"/>
        <w:bottom w:val="none" w:sz="0" w:space="0" w:color="auto"/>
        <w:right w:val="none" w:sz="0" w:space="0" w:color="auto"/>
      </w:divBdr>
      <w:divsChild>
        <w:div w:id="1682664555">
          <w:marLeft w:val="0"/>
          <w:marRight w:val="0"/>
          <w:marTop w:val="0"/>
          <w:marBottom w:val="0"/>
          <w:divBdr>
            <w:top w:val="none" w:sz="0" w:space="0" w:color="auto"/>
            <w:left w:val="none" w:sz="0" w:space="0" w:color="auto"/>
            <w:bottom w:val="none" w:sz="0" w:space="0" w:color="auto"/>
            <w:right w:val="none" w:sz="0" w:space="0" w:color="auto"/>
          </w:divBdr>
          <w:divsChild>
            <w:div w:id="854655249">
              <w:marLeft w:val="0"/>
              <w:marRight w:val="0"/>
              <w:marTop w:val="0"/>
              <w:marBottom w:val="0"/>
              <w:divBdr>
                <w:top w:val="none" w:sz="0" w:space="0" w:color="auto"/>
                <w:left w:val="none" w:sz="0" w:space="0" w:color="auto"/>
                <w:bottom w:val="none" w:sz="0" w:space="0" w:color="auto"/>
                <w:right w:val="none" w:sz="0" w:space="0" w:color="auto"/>
              </w:divBdr>
            </w:div>
            <w:div w:id="1748919345">
              <w:marLeft w:val="0"/>
              <w:marRight w:val="0"/>
              <w:marTop w:val="0"/>
              <w:marBottom w:val="0"/>
              <w:divBdr>
                <w:top w:val="none" w:sz="0" w:space="0" w:color="auto"/>
                <w:left w:val="none" w:sz="0" w:space="0" w:color="auto"/>
                <w:bottom w:val="none" w:sz="0" w:space="0" w:color="auto"/>
                <w:right w:val="none" w:sz="0" w:space="0" w:color="auto"/>
              </w:divBdr>
            </w:div>
          </w:divsChild>
        </w:div>
        <w:div w:id="1815755616">
          <w:marLeft w:val="0"/>
          <w:marRight w:val="0"/>
          <w:marTop w:val="0"/>
          <w:marBottom w:val="0"/>
          <w:divBdr>
            <w:top w:val="none" w:sz="0" w:space="0" w:color="auto"/>
            <w:left w:val="none" w:sz="0" w:space="0" w:color="auto"/>
            <w:bottom w:val="none" w:sz="0" w:space="0" w:color="auto"/>
            <w:right w:val="none" w:sz="0" w:space="0" w:color="auto"/>
          </w:divBdr>
          <w:divsChild>
            <w:div w:id="300186187">
              <w:marLeft w:val="0"/>
              <w:marRight w:val="0"/>
              <w:marTop w:val="0"/>
              <w:marBottom w:val="0"/>
              <w:divBdr>
                <w:top w:val="none" w:sz="0" w:space="0" w:color="auto"/>
                <w:left w:val="none" w:sz="0" w:space="0" w:color="auto"/>
                <w:bottom w:val="none" w:sz="0" w:space="0" w:color="auto"/>
                <w:right w:val="none" w:sz="0" w:space="0" w:color="auto"/>
              </w:divBdr>
            </w:div>
            <w:div w:id="472140644">
              <w:marLeft w:val="0"/>
              <w:marRight w:val="0"/>
              <w:marTop w:val="0"/>
              <w:marBottom w:val="0"/>
              <w:divBdr>
                <w:top w:val="none" w:sz="0" w:space="0" w:color="auto"/>
                <w:left w:val="none" w:sz="0" w:space="0" w:color="auto"/>
                <w:bottom w:val="none" w:sz="0" w:space="0" w:color="auto"/>
                <w:right w:val="none" w:sz="0" w:space="0" w:color="auto"/>
              </w:divBdr>
            </w:div>
            <w:div w:id="539517978">
              <w:marLeft w:val="0"/>
              <w:marRight w:val="0"/>
              <w:marTop w:val="0"/>
              <w:marBottom w:val="0"/>
              <w:divBdr>
                <w:top w:val="none" w:sz="0" w:space="0" w:color="auto"/>
                <w:left w:val="none" w:sz="0" w:space="0" w:color="auto"/>
                <w:bottom w:val="none" w:sz="0" w:space="0" w:color="auto"/>
                <w:right w:val="none" w:sz="0" w:space="0" w:color="auto"/>
              </w:divBdr>
            </w:div>
            <w:div w:id="602305320">
              <w:marLeft w:val="0"/>
              <w:marRight w:val="0"/>
              <w:marTop w:val="0"/>
              <w:marBottom w:val="0"/>
              <w:divBdr>
                <w:top w:val="none" w:sz="0" w:space="0" w:color="auto"/>
                <w:left w:val="none" w:sz="0" w:space="0" w:color="auto"/>
                <w:bottom w:val="none" w:sz="0" w:space="0" w:color="auto"/>
                <w:right w:val="none" w:sz="0" w:space="0" w:color="auto"/>
              </w:divBdr>
            </w:div>
            <w:div w:id="718289493">
              <w:marLeft w:val="0"/>
              <w:marRight w:val="0"/>
              <w:marTop w:val="0"/>
              <w:marBottom w:val="0"/>
              <w:divBdr>
                <w:top w:val="none" w:sz="0" w:space="0" w:color="auto"/>
                <w:left w:val="none" w:sz="0" w:space="0" w:color="auto"/>
                <w:bottom w:val="none" w:sz="0" w:space="0" w:color="auto"/>
                <w:right w:val="none" w:sz="0" w:space="0" w:color="auto"/>
              </w:divBdr>
            </w:div>
            <w:div w:id="861213275">
              <w:marLeft w:val="0"/>
              <w:marRight w:val="0"/>
              <w:marTop w:val="0"/>
              <w:marBottom w:val="0"/>
              <w:divBdr>
                <w:top w:val="none" w:sz="0" w:space="0" w:color="auto"/>
                <w:left w:val="none" w:sz="0" w:space="0" w:color="auto"/>
                <w:bottom w:val="none" w:sz="0" w:space="0" w:color="auto"/>
                <w:right w:val="none" w:sz="0" w:space="0" w:color="auto"/>
              </w:divBdr>
            </w:div>
            <w:div w:id="1093088003">
              <w:marLeft w:val="0"/>
              <w:marRight w:val="0"/>
              <w:marTop w:val="0"/>
              <w:marBottom w:val="0"/>
              <w:divBdr>
                <w:top w:val="none" w:sz="0" w:space="0" w:color="auto"/>
                <w:left w:val="none" w:sz="0" w:space="0" w:color="auto"/>
                <w:bottom w:val="none" w:sz="0" w:space="0" w:color="auto"/>
                <w:right w:val="none" w:sz="0" w:space="0" w:color="auto"/>
              </w:divBdr>
            </w:div>
            <w:div w:id="1097095631">
              <w:marLeft w:val="0"/>
              <w:marRight w:val="0"/>
              <w:marTop w:val="0"/>
              <w:marBottom w:val="0"/>
              <w:divBdr>
                <w:top w:val="none" w:sz="0" w:space="0" w:color="auto"/>
                <w:left w:val="none" w:sz="0" w:space="0" w:color="auto"/>
                <w:bottom w:val="none" w:sz="0" w:space="0" w:color="auto"/>
                <w:right w:val="none" w:sz="0" w:space="0" w:color="auto"/>
              </w:divBdr>
            </w:div>
            <w:div w:id="1154374940">
              <w:marLeft w:val="0"/>
              <w:marRight w:val="0"/>
              <w:marTop w:val="0"/>
              <w:marBottom w:val="0"/>
              <w:divBdr>
                <w:top w:val="none" w:sz="0" w:space="0" w:color="auto"/>
                <w:left w:val="none" w:sz="0" w:space="0" w:color="auto"/>
                <w:bottom w:val="none" w:sz="0" w:space="0" w:color="auto"/>
                <w:right w:val="none" w:sz="0" w:space="0" w:color="auto"/>
              </w:divBdr>
            </w:div>
            <w:div w:id="1249534316">
              <w:marLeft w:val="0"/>
              <w:marRight w:val="0"/>
              <w:marTop w:val="0"/>
              <w:marBottom w:val="0"/>
              <w:divBdr>
                <w:top w:val="none" w:sz="0" w:space="0" w:color="auto"/>
                <w:left w:val="none" w:sz="0" w:space="0" w:color="auto"/>
                <w:bottom w:val="none" w:sz="0" w:space="0" w:color="auto"/>
                <w:right w:val="none" w:sz="0" w:space="0" w:color="auto"/>
              </w:divBdr>
            </w:div>
            <w:div w:id="1682123407">
              <w:marLeft w:val="0"/>
              <w:marRight w:val="0"/>
              <w:marTop w:val="0"/>
              <w:marBottom w:val="0"/>
              <w:divBdr>
                <w:top w:val="none" w:sz="0" w:space="0" w:color="auto"/>
                <w:left w:val="none" w:sz="0" w:space="0" w:color="auto"/>
                <w:bottom w:val="none" w:sz="0" w:space="0" w:color="auto"/>
                <w:right w:val="none" w:sz="0" w:space="0" w:color="auto"/>
              </w:divBdr>
            </w:div>
            <w:div w:id="192348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021409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A5FD839E-277E-44DD-976A-86E0320CEED8}"/>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1170</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Retevmo SGM 3874-A</vt:lpstr>
    </vt:vector>
  </TitlesOfParts>
  <Company>CVS Caremark</Company>
  <LinksUpToDate>false</LinksUpToDate>
  <CharactersWithSpaces>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Retevmo SGM 3874-A</dc:title>
  <dc:subject>Retevmo SGM 3874-A</dc:subject>
  <dc:creator>CVS Caremark</dc:creator>
  <cp:keywords/>
  <cp:lastModifiedBy>Reynoso, Victor H</cp:lastModifiedBy>
  <cp:revision>5</cp:revision>
  <cp:lastPrinted>2024-04-24T13:54:00Z</cp:lastPrinted>
  <dcterms:created xsi:type="dcterms:W3CDTF">2025-07-02T17:43:00Z</dcterms:created>
  <dcterms:modified xsi:type="dcterms:W3CDTF">2025-07-02T17:45:00Z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845900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